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B2" w:rsidRPr="00323009" w:rsidRDefault="004F40B2" w:rsidP="00247E8B">
      <w:pPr>
        <w:tabs>
          <w:tab w:val="left" w:pos="7938"/>
        </w:tabs>
        <w:adjustRightInd w:val="0"/>
        <w:snapToGrid w:val="0"/>
        <w:spacing w:line="276" w:lineRule="auto"/>
        <w:jc w:val="center"/>
        <w:rPr>
          <w:b/>
        </w:rPr>
      </w:pPr>
    </w:p>
    <w:p w:rsidR="00BB3B52" w:rsidRPr="00323009" w:rsidRDefault="00BB3B52" w:rsidP="002679A3">
      <w:pPr>
        <w:adjustRightInd w:val="0"/>
        <w:snapToGrid w:val="0"/>
        <w:spacing w:line="276" w:lineRule="auto"/>
        <w:jc w:val="center"/>
        <w:rPr>
          <w:b/>
        </w:rPr>
      </w:pPr>
    </w:p>
    <w:p w:rsidR="009B7AA0" w:rsidRPr="00323009" w:rsidRDefault="002E04B8" w:rsidP="002679A3">
      <w:pPr>
        <w:adjustRightInd w:val="0"/>
        <w:snapToGrid w:val="0"/>
        <w:spacing w:line="276" w:lineRule="auto"/>
        <w:jc w:val="center"/>
        <w:rPr>
          <w:b/>
        </w:rPr>
      </w:pPr>
      <w:r w:rsidRPr="00323009">
        <w:rPr>
          <w:b/>
        </w:rPr>
        <w:t>NOTĂ DE FUNDAMENTARE</w:t>
      </w:r>
    </w:p>
    <w:p w:rsidR="002E04B8" w:rsidRPr="00323009" w:rsidRDefault="002E04B8" w:rsidP="002679A3">
      <w:pPr>
        <w:adjustRightInd w:val="0"/>
        <w:snapToGrid w:val="0"/>
        <w:spacing w:line="276" w:lineRule="auto"/>
        <w:rPr>
          <w:b/>
          <w:bCs/>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992"/>
        <w:gridCol w:w="992"/>
        <w:gridCol w:w="992"/>
        <w:gridCol w:w="993"/>
        <w:gridCol w:w="992"/>
        <w:gridCol w:w="850"/>
      </w:tblGrid>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b/>
              </w:rPr>
            </w:pPr>
            <w:r w:rsidRPr="00323009">
              <w:rPr>
                <w:b/>
              </w:rPr>
              <w:t>Secţiunea 1</w:t>
            </w:r>
          </w:p>
          <w:p w:rsidR="006F1214" w:rsidRPr="00323009" w:rsidRDefault="002E04B8" w:rsidP="002679A3">
            <w:pPr>
              <w:adjustRightInd w:val="0"/>
              <w:snapToGrid w:val="0"/>
              <w:spacing w:line="276" w:lineRule="auto"/>
              <w:jc w:val="center"/>
              <w:rPr>
                <w:b/>
              </w:rPr>
            </w:pPr>
            <w:r w:rsidRPr="00323009">
              <w:rPr>
                <w:b/>
              </w:rPr>
              <w:t>Titlul proiectului de act normativ</w:t>
            </w:r>
          </w:p>
          <w:p w:rsidR="006C6090" w:rsidRPr="00323009" w:rsidRDefault="002E7617" w:rsidP="002679A3">
            <w:pPr>
              <w:spacing w:line="276" w:lineRule="auto"/>
              <w:jc w:val="center"/>
              <w:rPr>
                <w:b/>
              </w:rPr>
            </w:pPr>
            <w:r w:rsidRPr="00323009">
              <w:rPr>
                <w:b/>
                <w:bCs/>
              </w:rPr>
              <w:t xml:space="preserve"> </w:t>
            </w:r>
            <w:r w:rsidR="006C6090" w:rsidRPr="00323009">
              <w:rPr>
                <w:b/>
              </w:rPr>
              <w:t>HOTĂRÂRE</w:t>
            </w:r>
          </w:p>
          <w:p w:rsidR="00862472" w:rsidRPr="00323009" w:rsidRDefault="00862472" w:rsidP="00862472">
            <w:pPr>
              <w:jc w:val="center"/>
              <w:rPr>
                <w:b/>
              </w:rPr>
            </w:pPr>
            <w:r w:rsidRPr="00323009">
              <w:rPr>
                <w:b/>
              </w:rPr>
              <w:t xml:space="preserve">pentru  modificarea și completarea Normelor metodologice de aplicare a prevederilor Legii nr. 279/2005 privind ucenicia la locul de muncă, </w:t>
            </w:r>
          </w:p>
          <w:p w:rsidR="0044539D" w:rsidRPr="00323009" w:rsidRDefault="00862472" w:rsidP="00862472">
            <w:pPr>
              <w:spacing w:line="276" w:lineRule="auto"/>
              <w:jc w:val="center"/>
              <w:rPr>
                <w:b/>
                <w:bCs/>
              </w:rPr>
            </w:pPr>
            <w:r w:rsidRPr="00323009">
              <w:rPr>
                <w:b/>
              </w:rPr>
              <w:t>aprobate prin Hotărârea Guvernului nr. 855/2013</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D30955" w:rsidRPr="00323009" w:rsidRDefault="002E04B8" w:rsidP="002679A3">
            <w:pPr>
              <w:pStyle w:val="Heading1"/>
              <w:adjustRightInd w:val="0"/>
              <w:snapToGrid w:val="0"/>
              <w:spacing w:line="276" w:lineRule="auto"/>
            </w:pPr>
            <w:r w:rsidRPr="00323009">
              <w:t>Secţiunea a 2-a</w:t>
            </w:r>
          </w:p>
          <w:p w:rsidR="00542A0F" w:rsidRPr="00323009" w:rsidRDefault="002E04B8" w:rsidP="00BF1CFB">
            <w:pPr>
              <w:pStyle w:val="Heading1"/>
              <w:adjustRightInd w:val="0"/>
              <w:snapToGrid w:val="0"/>
              <w:spacing w:line="276" w:lineRule="auto"/>
              <w:rPr>
                <w:lang w:eastAsia="ro-RO"/>
              </w:rPr>
            </w:pPr>
            <w:r w:rsidRPr="00323009">
              <w:rPr>
                <w:lang w:eastAsia="ro-RO"/>
              </w:rPr>
              <w:t>Motivul emiterii actului normativ</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6039DD" w:rsidRPr="00323009" w:rsidRDefault="002E04B8" w:rsidP="002679A3">
            <w:pPr>
              <w:numPr>
                <w:ilvl w:val="0"/>
                <w:numId w:val="8"/>
              </w:numPr>
              <w:adjustRightInd w:val="0"/>
              <w:snapToGrid w:val="0"/>
              <w:spacing w:line="276" w:lineRule="auto"/>
              <w:jc w:val="both"/>
              <w:rPr>
                <w:b/>
              </w:rPr>
            </w:pPr>
            <w:r w:rsidRPr="00323009">
              <w:rPr>
                <w:b/>
              </w:rPr>
              <w:t>Descrierea situaţiei actuale</w:t>
            </w:r>
            <w:r w:rsidR="006039DD" w:rsidRPr="00323009">
              <w:rPr>
                <w:b/>
              </w:rPr>
              <w:t xml:space="preserve"> </w:t>
            </w:r>
          </w:p>
          <w:p w:rsidR="0099050F" w:rsidRPr="00323009" w:rsidRDefault="00C23843" w:rsidP="002679A3">
            <w:pPr>
              <w:adjustRightInd w:val="0"/>
              <w:spacing w:line="276" w:lineRule="auto"/>
              <w:jc w:val="both"/>
            </w:pPr>
            <w:r w:rsidRPr="00323009">
              <w:t xml:space="preserve">Recomandarea Consiliului </w:t>
            </w:r>
            <w:r w:rsidR="0099050F" w:rsidRPr="00323009">
              <w:t xml:space="preserve">din 19 decembrie 2016 privind parcursurile de actualizare a competențelor </w:t>
            </w:r>
            <w:r w:rsidR="0099050F" w:rsidRPr="00323009">
              <w:rPr>
                <w:b/>
              </w:rPr>
              <w:t>Noi oportunități pentru adulți</w:t>
            </w:r>
            <w:r w:rsidR="0099050F" w:rsidRPr="00323009">
              <w:t xml:space="preserve"> precizează: ”</w:t>
            </w:r>
            <w:r w:rsidR="0099221B" w:rsidRPr="00323009">
              <w:t>Locurile de muncă vacante impun un nivel tot mai ridicat și o gamă tot mai largă de competențe. În viitor, vor exista mai puține locuri de muncă de natură elementară. Chiar și locurile de muncă necesitând, în mod tradițional, doar un nivel redus de calificare sau niciun fel de calificare</w:t>
            </w:r>
            <w:r w:rsidR="00C96CD8" w:rsidRPr="00323009">
              <w:t>,</w:t>
            </w:r>
            <w:r w:rsidR="0099221B" w:rsidRPr="00323009">
              <w:t xml:space="preserve"> devin din ce în ce mai exigente. Marea majoritate a locurilor de muncă vor necesita un anumit nivel de competențe digitale, iar un număr tot mai mare de locuri de muncă elementare necesită anumite competențe esențiale sau generice (precum comunicare, soluționarea problemelor, muncă în echipă și inteligență emoțională)</w:t>
            </w:r>
            <w:r w:rsidR="0099050F" w:rsidRPr="00323009">
              <w:t>”</w:t>
            </w:r>
            <w:r w:rsidR="0099221B" w:rsidRPr="00323009">
              <w:t>.</w:t>
            </w:r>
          </w:p>
          <w:p w:rsidR="0099221B" w:rsidRPr="00323009" w:rsidRDefault="00226F95" w:rsidP="002679A3">
            <w:pPr>
              <w:adjustRightInd w:val="0"/>
              <w:snapToGrid w:val="0"/>
              <w:spacing w:line="276" w:lineRule="auto"/>
              <w:jc w:val="both"/>
            </w:pPr>
            <w:r w:rsidRPr="00323009">
              <w:t xml:space="preserve">De asemenea, </w:t>
            </w:r>
            <w:r w:rsidR="00810CC6" w:rsidRPr="00323009">
              <w:t>Recomandarea</w:t>
            </w:r>
            <w:r w:rsidRPr="00323009">
              <w:t xml:space="preserve"> evidențiază faptul că</w:t>
            </w:r>
            <w:r w:rsidR="00C96CD8" w:rsidRPr="00323009">
              <w:t>,</w:t>
            </w:r>
            <w:r w:rsidR="006E1807" w:rsidRPr="00323009">
              <w:t xml:space="preserve"> la nivelul Uniunii Europene,</w:t>
            </w:r>
            <w:r w:rsidRPr="00323009">
              <w:t xml:space="preserve"> î</w:t>
            </w:r>
            <w:r w:rsidR="00810CC6" w:rsidRPr="00323009">
              <w:t>n 2015 existau 64 de milioane de persoane, adică peste un sfert din populația Uniunii cu vârsta cuprinsă între 25 și 64 de ani, care părăsiseră educația și formarea profesională inițiale cu cel mult o calificare corespunzătoare învățământului secundar inferior</w:t>
            </w:r>
            <w:r w:rsidR="0099050F" w:rsidRPr="00323009">
              <w:t>. Deși nu există mijloace de a măsura nivelul competențelor de bază ale respectivelor persoane, Ancheta Organizației pentru Cooperare și Dezvoltare Economică (OCDE) privind competențele adulților (PIAAC), care a testat nivelurile de alfabetizare, de competențe numerice și de soluționare a problemelor în medii puternic tehnologizate, indică faptul că ponderi similare de adulți în vârstă de 16-65 de ani au înregistrat rezultate la cel mai scăzut nivel de stăpânire a competențelor în 20 de state membre.</w:t>
            </w:r>
          </w:p>
          <w:p w:rsidR="00CE3F12" w:rsidRPr="00323009" w:rsidRDefault="00CE3F12" w:rsidP="002679A3">
            <w:pPr>
              <w:adjustRightInd w:val="0"/>
              <w:snapToGrid w:val="0"/>
              <w:spacing w:line="276" w:lineRule="auto"/>
              <w:jc w:val="both"/>
            </w:pPr>
          </w:p>
          <w:p w:rsidR="00517193" w:rsidRPr="00323009" w:rsidRDefault="005066CA" w:rsidP="002679A3">
            <w:pPr>
              <w:adjustRightInd w:val="0"/>
              <w:snapToGrid w:val="0"/>
              <w:spacing w:line="276" w:lineRule="auto"/>
              <w:jc w:val="both"/>
            </w:pPr>
            <w:r w:rsidRPr="00323009">
              <w:t>Persoanele slab calificate cu deficiențe fundame</w:t>
            </w:r>
            <w:r w:rsidR="00364131" w:rsidRPr="00323009">
              <w:t>ntale ale competențelor de bază reprezintă</w:t>
            </w:r>
            <w:r w:rsidRPr="00323009">
              <w:t xml:space="preserve"> o proporție foarte ridicată a șomerilor (în special a șomerilor de lungă durată) și a altor grupuri vulnerabile, de exemplu lucrătorii în vârstă, persoanele inactive din punct de vedere economic și resortisanții țărilor terțe. Aceste deficiențe îngreunează accesul sau reintegrarea acestora pe piața muncii.</w:t>
            </w:r>
          </w:p>
          <w:p w:rsidR="005066CA" w:rsidRPr="00323009" w:rsidRDefault="00517193" w:rsidP="002679A3">
            <w:pPr>
              <w:adjustRightInd w:val="0"/>
              <w:snapToGrid w:val="0"/>
              <w:spacing w:line="276" w:lineRule="auto"/>
              <w:jc w:val="both"/>
            </w:pPr>
            <w:r w:rsidRPr="00323009">
              <w:t>Participarea la învățarea pe tot parcursul vieții a adulților slab calificați rămâne de patru ori mai mică decât cea a persoanelor absolvente de învățământ terțiar. Accesul la oportunități de învățare pe tot parcursul vieții rămâne inegal între grupurile socio-economice și unele grupuri d</w:t>
            </w:r>
            <w:r w:rsidR="00A52184" w:rsidRPr="00323009">
              <w:t>in populația în vârstă de muncă</w:t>
            </w:r>
            <w:r w:rsidRPr="00323009">
              <w:t xml:space="preserve">. Încurajarea participării largi și favorabile incluziunii este, prin urmare, un factor-cheie pentru succesul măsurilor de </w:t>
            </w:r>
            <w:r w:rsidR="007C7BB7" w:rsidRPr="00323009">
              <w:t xml:space="preserve">dobândire și </w:t>
            </w:r>
            <w:r w:rsidRPr="00323009">
              <w:t>actualizare a competențelor</w:t>
            </w:r>
            <w:r w:rsidR="007C7BB7" w:rsidRPr="00323009">
              <w:t>.</w:t>
            </w:r>
          </w:p>
          <w:p w:rsidR="00E7437B" w:rsidRDefault="00790FE3" w:rsidP="002679A3">
            <w:pPr>
              <w:adjustRightInd w:val="0"/>
              <w:snapToGrid w:val="0"/>
              <w:spacing w:line="276" w:lineRule="auto"/>
              <w:jc w:val="both"/>
            </w:pPr>
            <w:r w:rsidRPr="00323009">
              <w:t>Potrivit</w:t>
            </w:r>
            <w:r w:rsidR="00053649" w:rsidRPr="00323009">
              <w:t xml:space="preserve"> </w:t>
            </w:r>
            <w:r w:rsidRPr="00323009">
              <w:t>art. VI din</w:t>
            </w:r>
            <w:r w:rsidR="009B6E8E" w:rsidRPr="00323009">
              <w:t xml:space="preserve"> Legea nr. 93/2019 </w:t>
            </w:r>
            <w:r w:rsidR="006678E9" w:rsidRPr="00323009">
              <w:t>pentru aprobarea Ordonanţei</w:t>
            </w:r>
            <w:r w:rsidR="00E7437B" w:rsidRPr="00323009">
              <w:t xml:space="preserve"> de Urgenţă </w:t>
            </w:r>
            <w:r w:rsidR="00C32D83" w:rsidRPr="00323009">
              <w:t>n</w:t>
            </w:r>
            <w:r w:rsidR="00BE7672" w:rsidRPr="00323009">
              <w:t>r. 96/2018 privind prorogarea unor termene, precum şi pentru modificarea şi completarea unor acte normative</w:t>
            </w:r>
            <w:r w:rsidR="00522BAD" w:rsidRPr="00323009">
              <w:t>, publicată î</w:t>
            </w:r>
            <w:r w:rsidRPr="00323009">
              <w:t>n</w:t>
            </w:r>
            <w:r w:rsidR="00E7437B" w:rsidRPr="00323009">
              <w:t xml:space="preserve"> Monitorul Oficial nr</w:t>
            </w:r>
            <w:r w:rsidR="00454E3B" w:rsidRPr="00323009">
              <w:t>. 354</w:t>
            </w:r>
            <w:r w:rsidR="006678E9" w:rsidRPr="00323009">
              <w:t xml:space="preserve"> din 8 mai 2019</w:t>
            </w:r>
            <w:r w:rsidR="00F114BA" w:rsidRPr="00323009">
              <w:t>,</w:t>
            </w:r>
            <w:r w:rsidR="00614CFD" w:rsidRPr="00323009">
              <w:t xml:space="preserve"> </w:t>
            </w:r>
            <w:r w:rsidR="00893C9F" w:rsidRPr="00323009">
              <w:t>prin modificare</w:t>
            </w:r>
            <w:r w:rsidR="00186082" w:rsidRPr="00323009">
              <w:t xml:space="preserve">a </w:t>
            </w:r>
            <w:r w:rsidR="00E7437B" w:rsidRPr="00323009">
              <w:t>Leg</w:t>
            </w:r>
            <w:r w:rsidR="00186082" w:rsidRPr="00323009">
              <w:t>ii</w:t>
            </w:r>
            <w:r w:rsidR="00614CFD" w:rsidRPr="00323009">
              <w:t xml:space="preserve"> nr. </w:t>
            </w:r>
            <w:r w:rsidR="00E7437B" w:rsidRPr="00323009">
              <w:t>279/2005 priv</w:t>
            </w:r>
            <w:r w:rsidR="00614CFD" w:rsidRPr="00323009">
              <w:t>ind ucenicia la locul de muncă,</w:t>
            </w:r>
            <w:r w:rsidR="00E7437B" w:rsidRPr="00323009">
              <w:t xml:space="preserve"> </w:t>
            </w:r>
            <w:r w:rsidR="00000EB8" w:rsidRPr="00323009">
              <w:t>au</w:t>
            </w:r>
            <w:r w:rsidR="00614CFD" w:rsidRPr="00323009">
              <w:t xml:space="preserve"> fost </w:t>
            </w:r>
            <w:r w:rsidR="00383E47" w:rsidRPr="00323009">
              <w:t>legiferate</w:t>
            </w:r>
            <w:r w:rsidR="00614CFD" w:rsidRPr="00323009">
              <w:t xml:space="preserve"> </w:t>
            </w:r>
            <w:r w:rsidR="00810CC6" w:rsidRPr="00323009">
              <w:t>următoarele aspecte:</w:t>
            </w:r>
          </w:p>
          <w:p w:rsidR="00BF1CFB" w:rsidRDefault="00BF1CFB" w:rsidP="002679A3">
            <w:pPr>
              <w:pStyle w:val="Default"/>
              <w:snapToGrid w:val="0"/>
              <w:spacing w:line="276" w:lineRule="auto"/>
              <w:jc w:val="both"/>
              <w:rPr>
                <w:color w:val="auto"/>
                <w:lang w:val="ro-RO"/>
              </w:rPr>
            </w:pPr>
          </w:p>
          <w:p w:rsidR="00BF1CFB" w:rsidRDefault="00BF1CFB" w:rsidP="002679A3">
            <w:pPr>
              <w:pStyle w:val="Default"/>
              <w:snapToGrid w:val="0"/>
              <w:spacing w:line="276" w:lineRule="auto"/>
              <w:jc w:val="both"/>
              <w:rPr>
                <w:color w:val="auto"/>
                <w:lang w:val="ro-RO"/>
              </w:rPr>
            </w:pPr>
          </w:p>
          <w:p w:rsidR="00F44208" w:rsidRPr="00323009" w:rsidRDefault="00E7437B" w:rsidP="002679A3">
            <w:pPr>
              <w:pStyle w:val="Default"/>
              <w:snapToGrid w:val="0"/>
              <w:spacing w:line="276" w:lineRule="auto"/>
              <w:jc w:val="both"/>
              <w:rPr>
                <w:color w:val="auto"/>
                <w:lang w:val="ro-RO"/>
              </w:rPr>
            </w:pPr>
            <w:r w:rsidRPr="00323009">
              <w:rPr>
                <w:color w:val="auto"/>
                <w:lang w:val="ro-RO"/>
              </w:rPr>
              <w:lastRenderedPageBreak/>
              <w:t xml:space="preserve">   </w:t>
            </w:r>
            <w:r w:rsidR="00156162" w:rsidRPr="00323009">
              <w:rPr>
                <w:color w:val="auto"/>
                <w:lang w:val="ro-RO"/>
              </w:rPr>
              <w:t xml:space="preserve">- </w:t>
            </w:r>
            <w:r w:rsidR="00C06819" w:rsidRPr="00323009">
              <w:rPr>
                <w:color w:val="auto"/>
                <w:lang w:val="ro-RO"/>
              </w:rPr>
              <w:t>a fost introdus nivelul 1</w:t>
            </w:r>
            <w:r w:rsidR="00F44208" w:rsidRPr="00323009">
              <w:rPr>
                <w:color w:val="auto"/>
                <w:lang w:val="ro-RO"/>
              </w:rPr>
              <w:t xml:space="preserve"> de calificare iar durata contractului de ucenicie se stabileşte în funcţie de nivelul de calificare pentru care urmează să se pregătească ucenicul, fără a putea fi mai mică de:</w:t>
            </w:r>
          </w:p>
          <w:p w:rsidR="00F44208" w:rsidRPr="00323009" w:rsidRDefault="00F44208" w:rsidP="002679A3">
            <w:pPr>
              <w:pStyle w:val="Default"/>
              <w:numPr>
                <w:ilvl w:val="0"/>
                <w:numId w:val="21"/>
              </w:numPr>
              <w:snapToGrid w:val="0"/>
              <w:spacing w:line="276" w:lineRule="auto"/>
              <w:jc w:val="both"/>
              <w:rPr>
                <w:color w:val="auto"/>
                <w:lang w:val="ro-RO"/>
              </w:rPr>
            </w:pPr>
            <w:r w:rsidRPr="00323009">
              <w:rPr>
                <w:color w:val="auto"/>
                <w:lang w:val="ro-RO"/>
              </w:rPr>
              <w:t>6 luni în cazul în care ucenicia la locul de muncă se organizează pentru dobândirea competenţelor corespunzătoare unei calificări de nivel 1;</w:t>
            </w:r>
          </w:p>
          <w:p w:rsidR="00F44208" w:rsidRPr="00323009" w:rsidRDefault="00F44208" w:rsidP="002679A3">
            <w:pPr>
              <w:pStyle w:val="Default"/>
              <w:numPr>
                <w:ilvl w:val="0"/>
                <w:numId w:val="21"/>
              </w:numPr>
              <w:snapToGrid w:val="0"/>
              <w:spacing w:line="276" w:lineRule="auto"/>
              <w:jc w:val="both"/>
              <w:rPr>
                <w:color w:val="auto"/>
                <w:lang w:val="ro-RO"/>
              </w:rPr>
            </w:pPr>
            <w:r w:rsidRPr="00323009">
              <w:rPr>
                <w:color w:val="auto"/>
                <w:lang w:val="ro-RO"/>
              </w:rPr>
              <w:t>12 luni, în cazul în care ucenicia la locul de muncă se organizează pentru dobândirea competenţelor corespunzătoare unei calificări de nivel 2;</w:t>
            </w:r>
          </w:p>
          <w:p w:rsidR="00F44208" w:rsidRPr="00323009" w:rsidRDefault="00F44208" w:rsidP="002679A3">
            <w:pPr>
              <w:pStyle w:val="Default"/>
              <w:numPr>
                <w:ilvl w:val="0"/>
                <w:numId w:val="21"/>
              </w:numPr>
              <w:snapToGrid w:val="0"/>
              <w:spacing w:line="276" w:lineRule="auto"/>
              <w:jc w:val="both"/>
              <w:rPr>
                <w:color w:val="auto"/>
                <w:lang w:val="ro-RO"/>
              </w:rPr>
            </w:pPr>
            <w:r w:rsidRPr="00323009">
              <w:rPr>
                <w:color w:val="auto"/>
                <w:lang w:val="ro-RO"/>
              </w:rPr>
              <w:t>24 de luni, în cazul în care ucenicia la locul de muncă se organizează pentru dobândirea competenţelor corespunzătoare unei calificări de nivel 3;</w:t>
            </w:r>
          </w:p>
          <w:p w:rsidR="00F44208" w:rsidRPr="00323009" w:rsidRDefault="00F44208" w:rsidP="002679A3">
            <w:pPr>
              <w:pStyle w:val="Default"/>
              <w:numPr>
                <w:ilvl w:val="0"/>
                <w:numId w:val="21"/>
              </w:numPr>
              <w:snapToGrid w:val="0"/>
              <w:spacing w:line="276" w:lineRule="auto"/>
              <w:jc w:val="both"/>
              <w:rPr>
                <w:color w:val="auto"/>
                <w:lang w:val="ro-RO"/>
              </w:rPr>
            </w:pPr>
            <w:r w:rsidRPr="00323009">
              <w:rPr>
                <w:color w:val="auto"/>
                <w:lang w:val="ro-RO"/>
              </w:rPr>
              <w:t>36 de luni, în cazul în care ucenicia la locul de muncă se organizează pentru dobândirea competenţelor corespunzătoare unei calificări de nivel</w:t>
            </w:r>
            <w:r w:rsidR="00D110BE" w:rsidRPr="00323009">
              <w:rPr>
                <w:color w:val="auto"/>
                <w:lang w:val="ro-RO"/>
              </w:rPr>
              <w:t xml:space="preserve"> 4;</w:t>
            </w:r>
          </w:p>
          <w:p w:rsidR="00E7437B" w:rsidRPr="00323009" w:rsidRDefault="00F44208" w:rsidP="002679A3">
            <w:pPr>
              <w:pStyle w:val="Default"/>
              <w:snapToGrid w:val="0"/>
              <w:spacing w:line="276" w:lineRule="auto"/>
              <w:jc w:val="both"/>
              <w:rPr>
                <w:color w:val="auto"/>
                <w:lang w:val="ro-RO"/>
              </w:rPr>
            </w:pPr>
            <w:r w:rsidRPr="00323009">
              <w:rPr>
                <w:color w:val="auto"/>
                <w:lang w:val="ro-RO"/>
              </w:rPr>
              <w:t xml:space="preserve">- </w:t>
            </w:r>
            <w:r w:rsidR="00156162" w:rsidRPr="00323009">
              <w:rPr>
                <w:color w:val="auto"/>
                <w:lang w:val="ro-RO"/>
              </w:rPr>
              <w:t xml:space="preserve">accesul </w:t>
            </w:r>
            <w:r w:rsidR="00644A47" w:rsidRPr="00323009">
              <w:rPr>
                <w:color w:val="auto"/>
                <w:lang w:val="ro-RO"/>
              </w:rPr>
              <w:t xml:space="preserve">persoanelor </w:t>
            </w:r>
            <w:r w:rsidR="00156162" w:rsidRPr="00323009">
              <w:rPr>
                <w:color w:val="auto"/>
                <w:lang w:val="ro-RO"/>
              </w:rPr>
              <w:t xml:space="preserve">la programele de formare profesională se face </w:t>
            </w:r>
            <w:r w:rsidR="00E7437B" w:rsidRPr="00323009">
              <w:rPr>
                <w:color w:val="auto"/>
                <w:lang w:val="ro-RO"/>
              </w:rPr>
              <w:t>pe niveluri</w:t>
            </w:r>
            <w:r w:rsidR="004D7C22" w:rsidRPr="00323009">
              <w:rPr>
                <w:color w:val="auto"/>
                <w:lang w:val="ro-RO"/>
              </w:rPr>
              <w:t>le de calificare stabilite</w:t>
            </w:r>
            <w:r w:rsidR="00E7437B" w:rsidRPr="00323009">
              <w:rPr>
                <w:color w:val="auto"/>
                <w:lang w:val="ro-RO"/>
              </w:rPr>
              <w:t xml:space="preserve"> conform Ordinului ministrului educaţiei naţionale şi al ministrului muncii şi justiţiei sociale nr. 5.039/2.126/2018 privind aprobarea corespondenţei dintre nivelurile Cadrului naţional al calificărilor, actele de studii/calificare ce se eliberează, tipul de programe de educaţie şi formare profesională din România prin care pot fi dobândite nivelurile de calificare, nivelurile de referinţă ale Cadrului european al calificărilor, precum şi condiţiile de acces corespunzătoar</w:t>
            </w:r>
            <w:r w:rsidR="00D110BE" w:rsidRPr="00323009">
              <w:rPr>
                <w:color w:val="auto"/>
                <w:lang w:val="ro-RO"/>
              </w:rPr>
              <w:t>e fiecărui nivel de calificare;</w:t>
            </w:r>
          </w:p>
          <w:p w:rsidR="0014522B" w:rsidRPr="00323009" w:rsidRDefault="0014522B" w:rsidP="002679A3">
            <w:pPr>
              <w:pStyle w:val="Default"/>
              <w:snapToGrid w:val="0"/>
              <w:spacing w:line="276" w:lineRule="auto"/>
              <w:jc w:val="both"/>
              <w:rPr>
                <w:color w:val="auto"/>
                <w:lang w:val="ro-RO"/>
              </w:rPr>
            </w:pPr>
            <w:r w:rsidRPr="00323009">
              <w:rPr>
                <w:color w:val="auto"/>
                <w:lang w:val="ro-RO"/>
              </w:rPr>
              <w:t xml:space="preserve">- ucenicii care, după perioada de probă, încetează contractul de ucenicie din motive imputabile lor, pot beneficia de un alt program de ucenicie numai după o perioadă de 2 ani de la data încetării </w:t>
            </w:r>
            <w:r w:rsidR="004D5E8E" w:rsidRPr="00323009">
              <w:rPr>
                <w:color w:val="auto"/>
                <w:lang w:val="ro-RO"/>
              </w:rPr>
              <w:t>contractului de ucenicie.</w:t>
            </w:r>
          </w:p>
          <w:p w:rsidR="00E7437B" w:rsidRPr="00323009" w:rsidRDefault="001B128B" w:rsidP="002679A3">
            <w:pPr>
              <w:pStyle w:val="Default"/>
              <w:snapToGrid w:val="0"/>
              <w:spacing w:line="276" w:lineRule="auto"/>
              <w:jc w:val="both"/>
              <w:rPr>
                <w:color w:val="auto"/>
                <w:lang w:val="ro-RO"/>
              </w:rPr>
            </w:pPr>
            <w:r w:rsidRPr="00323009">
              <w:rPr>
                <w:color w:val="auto"/>
                <w:lang w:val="ro-RO"/>
              </w:rPr>
              <w:t xml:space="preserve">- </w:t>
            </w:r>
            <w:r w:rsidR="00FA0959" w:rsidRPr="00323009">
              <w:rPr>
                <w:color w:val="auto"/>
                <w:lang w:val="ro-RO"/>
              </w:rPr>
              <w:t xml:space="preserve"> </w:t>
            </w:r>
            <w:r w:rsidR="001A146A" w:rsidRPr="00323009">
              <w:rPr>
                <w:color w:val="auto"/>
                <w:lang w:val="ro-RO"/>
              </w:rPr>
              <w:t xml:space="preserve">a fost </w:t>
            </w:r>
            <w:r w:rsidR="00B67568" w:rsidRPr="00323009">
              <w:rPr>
                <w:color w:val="auto"/>
                <w:lang w:val="ro-RO"/>
              </w:rPr>
              <w:t>restricționat accesul</w:t>
            </w:r>
            <w:r w:rsidR="00CE5C27" w:rsidRPr="00323009">
              <w:rPr>
                <w:color w:val="auto"/>
                <w:lang w:val="ro-RO"/>
              </w:rPr>
              <w:t xml:space="preserve"> la </w:t>
            </w:r>
            <w:r w:rsidR="00EC5C38" w:rsidRPr="00323009">
              <w:rPr>
                <w:color w:val="auto"/>
                <w:lang w:val="ro-RO"/>
              </w:rPr>
              <w:t>finanțarea</w:t>
            </w:r>
            <w:r w:rsidR="00CE5C27" w:rsidRPr="00323009">
              <w:rPr>
                <w:color w:val="auto"/>
                <w:lang w:val="ro-RO"/>
              </w:rPr>
              <w:t xml:space="preserve"> din </w:t>
            </w:r>
            <w:r w:rsidR="008D489B" w:rsidRPr="00323009">
              <w:rPr>
                <w:color w:val="auto"/>
                <w:lang w:val="ro-RO"/>
              </w:rPr>
              <w:t xml:space="preserve">fonduri europene structurale şi de investiţii şi fonduri publice naţionale aprobate în bugetul asigurărilor pentru şomaj </w:t>
            </w:r>
            <w:r w:rsidR="00CE5C27" w:rsidRPr="00323009">
              <w:rPr>
                <w:color w:val="auto"/>
                <w:lang w:val="ro-RO"/>
              </w:rPr>
              <w:t xml:space="preserve">pentru </w:t>
            </w:r>
            <w:r w:rsidR="00E7437B" w:rsidRPr="00323009">
              <w:rPr>
                <w:color w:val="auto"/>
                <w:lang w:val="ro-RO"/>
              </w:rPr>
              <w:t>angajatorii care:</w:t>
            </w:r>
          </w:p>
          <w:p w:rsidR="00E7437B" w:rsidRPr="00323009" w:rsidRDefault="00E7437B" w:rsidP="002679A3">
            <w:pPr>
              <w:pStyle w:val="Default"/>
              <w:numPr>
                <w:ilvl w:val="0"/>
                <w:numId w:val="20"/>
              </w:numPr>
              <w:snapToGrid w:val="0"/>
              <w:spacing w:line="276" w:lineRule="auto"/>
              <w:jc w:val="both"/>
              <w:rPr>
                <w:color w:val="auto"/>
                <w:lang w:val="ro-RO"/>
              </w:rPr>
            </w:pPr>
            <w:r w:rsidRPr="00323009">
              <w:rPr>
                <w:color w:val="auto"/>
                <w:lang w:val="ro-RO"/>
              </w:rPr>
              <w:t>anterior încheierii contractelor de ucenicie, au avut cu persoana în cauză încheiate alte contracte de ucenicie pentru aceeaşi calificare;</w:t>
            </w:r>
          </w:p>
          <w:p w:rsidR="00E7437B" w:rsidRPr="00323009" w:rsidRDefault="00E7437B" w:rsidP="002679A3">
            <w:pPr>
              <w:pStyle w:val="Default"/>
              <w:numPr>
                <w:ilvl w:val="0"/>
                <w:numId w:val="20"/>
              </w:numPr>
              <w:snapToGrid w:val="0"/>
              <w:spacing w:line="276" w:lineRule="auto"/>
              <w:jc w:val="both"/>
              <w:rPr>
                <w:color w:val="auto"/>
                <w:lang w:val="ro-RO"/>
              </w:rPr>
            </w:pPr>
            <w:r w:rsidRPr="00323009">
              <w:rPr>
                <w:color w:val="auto"/>
                <w:lang w:val="ro-RO"/>
              </w:rPr>
              <w:t>organizează programe de ucenicie în acelaşi domeniu de activitate în care ucenicul deţine deja o calificare ce cuprinde competenţele propuse a fi dobândite prin noul program de ucenicie;</w:t>
            </w:r>
          </w:p>
          <w:p w:rsidR="00E7437B" w:rsidRPr="00323009" w:rsidRDefault="00E7437B" w:rsidP="002679A3">
            <w:pPr>
              <w:pStyle w:val="Default"/>
              <w:numPr>
                <w:ilvl w:val="0"/>
                <w:numId w:val="20"/>
              </w:numPr>
              <w:snapToGrid w:val="0"/>
              <w:spacing w:line="276" w:lineRule="auto"/>
              <w:jc w:val="both"/>
              <w:rPr>
                <w:color w:val="auto"/>
                <w:lang w:val="ro-RO"/>
              </w:rPr>
            </w:pPr>
            <w:r w:rsidRPr="00323009">
              <w:rPr>
                <w:color w:val="auto"/>
                <w:lang w:val="ro-RO"/>
              </w:rPr>
              <w:t>în ultimul an au fost în raporturi de muncă cu persoana care urmează să încheie contract de ucenicie, cu excepţia situaţiei în care pentru persoana respectivă a fost încheiat contract individual de muncă pe perioada vacanţelor, în condiţiile Legii nr. 72/2007 privind stimularea încadrării în muncă a elevilor şi studenţilor, cu modificările ulterioare;</w:t>
            </w:r>
          </w:p>
          <w:p w:rsidR="0074778F" w:rsidRPr="00323009" w:rsidRDefault="00E7437B" w:rsidP="00BF1CFB">
            <w:pPr>
              <w:pStyle w:val="ListParagraph"/>
              <w:numPr>
                <w:ilvl w:val="0"/>
                <w:numId w:val="20"/>
              </w:numPr>
              <w:autoSpaceDE w:val="0"/>
              <w:autoSpaceDN w:val="0"/>
              <w:adjustRightInd w:val="0"/>
              <w:spacing w:after="0"/>
              <w:jc w:val="both"/>
              <w:rPr>
                <w:rFonts w:ascii="Times New Roman" w:hAnsi="Times New Roman"/>
                <w:sz w:val="24"/>
                <w:szCs w:val="24"/>
                <w:lang w:val="ro-RO"/>
              </w:rPr>
            </w:pPr>
            <w:proofErr w:type="gramStart"/>
            <w:r w:rsidRPr="00323009">
              <w:rPr>
                <w:rFonts w:ascii="Times New Roman" w:hAnsi="Times New Roman"/>
                <w:sz w:val="24"/>
                <w:szCs w:val="24"/>
              </w:rPr>
              <w:t>se</w:t>
            </w:r>
            <w:proofErr w:type="gramEnd"/>
            <w:r w:rsidRPr="00323009">
              <w:rPr>
                <w:rFonts w:ascii="Times New Roman" w:hAnsi="Times New Roman"/>
                <w:sz w:val="24"/>
                <w:szCs w:val="24"/>
              </w:rPr>
              <w:t xml:space="preserve"> </w:t>
            </w:r>
            <w:proofErr w:type="spellStart"/>
            <w:r w:rsidRPr="00323009">
              <w:rPr>
                <w:rFonts w:ascii="Times New Roman" w:hAnsi="Times New Roman"/>
                <w:sz w:val="24"/>
                <w:szCs w:val="24"/>
              </w:rPr>
              <w:t>află</w:t>
            </w:r>
            <w:proofErr w:type="spellEnd"/>
            <w:r w:rsidRPr="00323009">
              <w:rPr>
                <w:rFonts w:ascii="Times New Roman" w:hAnsi="Times New Roman"/>
                <w:sz w:val="24"/>
                <w:szCs w:val="24"/>
              </w:rPr>
              <w:t xml:space="preserve"> </w:t>
            </w:r>
            <w:proofErr w:type="spellStart"/>
            <w:r w:rsidRPr="00323009">
              <w:rPr>
                <w:rFonts w:ascii="Times New Roman" w:hAnsi="Times New Roman"/>
                <w:sz w:val="24"/>
                <w:szCs w:val="24"/>
              </w:rPr>
              <w:t>în</w:t>
            </w:r>
            <w:proofErr w:type="spellEnd"/>
            <w:r w:rsidRPr="00323009">
              <w:rPr>
                <w:rFonts w:ascii="Times New Roman" w:hAnsi="Times New Roman"/>
                <w:sz w:val="24"/>
                <w:szCs w:val="24"/>
              </w:rPr>
              <w:t xml:space="preserve"> </w:t>
            </w:r>
            <w:proofErr w:type="spellStart"/>
            <w:r w:rsidRPr="00323009">
              <w:rPr>
                <w:rFonts w:ascii="Times New Roman" w:hAnsi="Times New Roman"/>
                <w:sz w:val="24"/>
                <w:szCs w:val="24"/>
              </w:rPr>
              <w:t>situaţia</w:t>
            </w:r>
            <w:proofErr w:type="spellEnd"/>
            <w:r w:rsidRPr="00323009">
              <w:rPr>
                <w:rFonts w:ascii="Times New Roman" w:hAnsi="Times New Roman"/>
                <w:sz w:val="24"/>
                <w:szCs w:val="24"/>
              </w:rPr>
              <w:t xml:space="preserve"> de </w:t>
            </w:r>
            <w:proofErr w:type="spellStart"/>
            <w:r w:rsidRPr="00323009">
              <w:rPr>
                <w:rFonts w:ascii="Times New Roman" w:hAnsi="Times New Roman"/>
                <w:sz w:val="24"/>
                <w:szCs w:val="24"/>
              </w:rPr>
              <w:t>insolvenţă</w:t>
            </w:r>
            <w:proofErr w:type="spellEnd"/>
            <w:r w:rsidRPr="00323009">
              <w:rPr>
                <w:rFonts w:ascii="Times New Roman" w:hAnsi="Times New Roman"/>
                <w:sz w:val="24"/>
                <w:szCs w:val="24"/>
              </w:rPr>
              <w:t xml:space="preserve">, </w:t>
            </w:r>
            <w:proofErr w:type="spellStart"/>
            <w:r w:rsidRPr="00323009">
              <w:rPr>
                <w:rFonts w:ascii="Times New Roman" w:hAnsi="Times New Roman"/>
                <w:sz w:val="24"/>
                <w:szCs w:val="24"/>
              </w:rPr>
              <w:t>în</w:t>
            </w:r>
            <w:proofErr w:type="spellEnd"/>
            <w:r w:rsidRPr="00323009">
              <w:rPr>
                <w:rFonts w:ascii="Times New Roman" w:hAnsi="Times New Roman"/>
                <w:sz w:val="24"/>
                <w:szCs w:val="24"/>
              </w:rPr>
              <w:t xml:space="preserve"> </w:t>
            </w:r>
            <w:proofErr w:type="spellStart"/>
            <w:r w:rsidRPr="00323009">
              <w:rPr>
                <w:rFonts w:ascii="Times New Roman" w:hAnsi="Times New Roman"/>
                <w:sz w:val="24"/>
                <w:szCs w:val="24"/>
              </w:rPr>
              <w:t>procedură</w:t>
            </w:r>
            <w:proofErr w:type="spellEnd"/>
            <w:r w:rsidRPr="00323009">
              <w:rPr>
                <w:rFonts w:ascii="Times New Roman" w:hAnsi="Times New Roman"/>
                <w:sz w:val="24"/>
                <w:szCs w:val="24"/>
              </w:rPr>
              <w:t xml:space="preserve"> de </w:t>
            </w:r>
            <w:proofErr w:type="spellStart"/>
            <w:r w:rsidRPr="00323009">
              <w:rPr>
                <w:rFonts w:ascii="Times New Roman" w:hAnsi="Times New Roman"/>
                <w:sz w:val="24"/>
                <w:szCs w:val="24"/>
              </w:rPr>
              <w:t>executare</w:t>
            </w:r>
            <w:proofErr w:type="spellEnd"/>
            <w:r w:rsidRPr="00323009">
              <w:rPr>
                <w:rFonts w:ascii="Times New Roman" w:hAnsi="Times New Roman"/>
                <w:sz w:val="24"/>
                <w:szCs w:val="24"/>
              </w:rPr>
              <w:t xml:space="preserve"> </w:t>
            </w:r>
            <w:proofErr w:type="spellStart"/>
            <w:r w:rsidRPr="00323009">
              <w:rPr>
                <w:rFonts w:ascii="Times New Roman" w:hAnsi="Times New Roman"/>
                <w:sz w:val="24"/>
                <w:szCs w:val="24"/>
              </w:rPr>
              <w:t>silită</w:t>
            </w:r>
            <w:proofErr w:type="spellEnd"/>
            <w:r w:rsidRPr="00323009">
              <w:rPr>
                <w:rFonts w:ascii="Times New Roman" w:hAnsi="Times New Roman"/>
                <w:sz w:val="24"/>
                <w:szCs w:val="24"/>
              </w:rPr>
              <w:t xml:space="preserve">, </w:t>
            </w:r>
            <w:proofErr w:type="spellStart"/>
            <w:r w:rsidR="00A83FFF" w:rsidRPr="00323009">
              <w:rPr>
                <w:rFonts w:ascii="Times New Roman" w:hAnsi="Times New Roman"/>
                <w:sz w:val="24"/>
                <w:szCs w:val="24"/>
              </w:rPr>
              <w:t>reorganizare</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judiciară</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faliment</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dizolvare</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lichidare</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ori</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administrare</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specială</w:t>
            </w:r>
            <w:proofErr w:type="spellEnd"/>
            <w:r w:rsidR="00A83FFF" w:rsidRPr="00323009">
              <w:rPr>
                <w:rFonts w:ascii="Times New Roman" w:hAnsi="Times New Roman"/>
                <w:sz w:val="24"/>
                <w:szCs w:val="24"/>
              </w:rPr>
              <w:t xml:space="preserve">, care au </w:t>
            </w:r>
            <w:proofErr w:type="spellStart"/>
            <w:r w:rsidR="00A83FFF" w:rsidRPr="00323009">
              <w:rPr>
                <w:rFonts w:ascii="Times New Roman" w:hAnsi="Times New Roman"/>
                <w:sz w:val="24"/>
                <w:szCs w:val="24"/>
              </w:rPr>
              <w:t>activităţile</w:t>
            </w:r>
            <w:proofErr w:type="spellEnd"/>
            <w:r w:rsidR="00A83FFF" w:rsidRPr="00323009">
              <w:rPr>
                <w:rFonts w:ascii="Times New Roman" w:hAnsi="Times New Roman"/>
                <w:sz w:val="24"/>
                <w:szCs w:val="24"/>
              </w:rPr>
              <w:t xml:space="preserve"> </w:t>
            </w:r>
            <w:proofErr w:type="spellStart"/>
            <w:r w:rsidR="00A83FFF" w:rsidRPr="00323009">
              <w:rPr>
                <w:rFonts w:ascii="Times New Roman" w:hAnsi="Times New Roman"/>
                <w:sz w:val="24"/>
                <w:szCs w:val="24"/>
              </w:rPr>
              <w:t>suspendate</w:t>
            </w:r>
            <w:proofErr w:type="spellEnd"/>
            <w:r w:rsidR="00A83FFF" w:rsidRPr="00323009">
              <w:rPr>
                <w:rFonts w:ascii="Times New Roman" w:hAnsi="Times New Roman"/>
                <w:sz w:val="24"/>
                <w:szCs w:val="24"/>
              </w:rPr>
              <w:t xml:space="preserve"> </w:t>
            </w:r>
            <w:proofErr w:type="spellStart"/>
            <w:r w:rsidR="004D5E8E" w:rsidRPr="00323009">
              <w:rPr>
                <w:rFonts w:ascii="Times New Roman" w:hAnsi="Times New Roman"/>
                <w:sz w:val="24"/>
                <w:szCs w:val="24"/>
              </w:rPr>
              <w:t>sau</w:t>
            </w:r>
            <w:proofErr w:type="spellEnd"/>
            <w:r w:rsidR="004D5E8E" w:rsidRPr="00323009">
              <w:rPr>
                <w:rFonts w:ascii="Times New Roman" w:hAnsi="Times New Roman"/>
                <w:sz w:val="24"/>
                <w:szCs w:val="24"/>
              </w:rPr>
              <w:t xml:space="preserve"> </w:t>
            </w:r>
            <w:proofErr w:type="spellStart"/>
            <w:r w:rsidR="004D5E8E" w:rsidRPr="00323009">
              <w:rPr>
                <w:rFonts w:ascii="Times New Roman" w:hAnsi="Times New Roman"/>
                <w:sz w:val="24"/>
                <w:szCs w:val="24"/>
              </w:rPr>
              <w:t>restricţii</w:t>
            </w:r>
            <w:proofErr w:type="spellEnd"/>
            <w:r w:rsidR="004D5E8E" w:rsidRPr="00323009">
              <w:rPr>
                <w:rFonts w:ascii="Times New Roman" w:hAnsi="Times New Roman"/>
                <w:sz w:val="24"/>
                <w:szCs w:val="24"/>
              </w:rPr>
              <w:t xml:space="preserve"> </w:t>
            </w:r>
            <w:proofErr w:type="spellStart"/>
            <w:r w:rsidR="004D5E8E" w:rsidRPr="00323009">
              <w:rPr>
                <w:rFonts w:ascii="Times New Roman" w:hAnsi="Times New Roman"/>
                <w:sz w:val="24"/>
                <w:szCs w:val="24"/>
              </w:rPr>
              <w:t>asupra</w:t>
            </w:r>
            <w:proofErr w:type="spellEnd"/>
            <w:r w:rsidR="004D5E8E" w:rsidRPr="00323009">
              <w:rPr>
                <w:rFonts w:ascii="Times New Roman" w:hAnsi="Times New Roman"/>
                <w:sz w:val="24"/>
                <w:szCs w:val="24"/>
              </w:rPr>
              <w:t xml:space="preserve"> </w:t>
            </w:r>
            <w:proofErr w:type="spellStart"/>
            <w:r w:rsidR="004D5E8E" w:rsidRPr="00323009">
              <w:rPr>
                <w:rFonts w:ascii="Times New Roman" w:hAnsi="Times New Roman"/>
                <w:sz w:val="24"/>
                <w:szCs w:val="24"/>
              </w:rPr>
              <w:t>acestora</w:t>
            </w:r>
            <w:proofErr w:type="spellEnd"/>
            <w:r w:rsidR="004D5E8E" w:rsidRPr="00323009">
              <w:rPr>
                <w:rFonts w:ascii="Times New Roman" w:hAnsi="Times New Roman"/>
                <w:sz w:val="24"/>
                <w:szCs w:val="24"/>
              </w:rPr>
              <w:t>.</w:t>
            </w:r>
          </w:p>
          <w:p w:rsidR="00C76944" w:rsidRPr="00323009" w:rsidRDefault="00625679" w:rsidP="00BF1CFB">
            <w:pPr>
              <w:pStyle w:val="Default"/>
              <w:snapToGrid w:val="0"/>
              <w:jc w:val="both"/>
              <w:rPr>
                <w:color w:val="auto"/>
                <w:lang w:val="ro-RO"/>
              </w:rPr>
            </w:pPr>
            <w:r w:rsidRPr="00323009">
              <w:rPr>
                <w:color w:val="auto"/>
                <w:lang w:val="ro-RO"/>
              </w:rPr>
              <w:t xml:space="preserve">La elaborarea </w:t>
            </w:r>
            <w:r w:rsidR="00D578FD" w:rsidRPr="00323009">
              <w:rPr>
                <w:color w:val="auto"/>
                <w:lang w:val="ro-RO"/>
              </w:rPr>
              <w:t xml:space="preserve"> </w:t>
            </w:r>
            <w:r w:rsidRPr="00323009">
              <w:rPr>
                <w:bCs/>
                <w:color w:val="auto"/>
                <w:lang w:val="ro-RO"/>
              </w:rPr>
              <w:t xml:space="preserve">proiectului de act normativ </w:t>
            </w:r>
            <w:r w:rsidR="004B7C8B" w:rsidRPr="00323009">
              <w:rPr>
                <w:bCs/>
                <w:color w:val="auto"/>
                <w:lang w:val="ro-RO"/>
              </w:rPr>
              <w:t>s-au avut î</w:t>
            </w:r>
            <w:r w:rsidR="00C227AE" w:rsidRPr="00323009">
              <w:rPr>
                <w:bCs/>
                <w:color w:val="auto"/>
                <w:lang w:val="ro-RO"/>
              </w:rPr>
              <w:t>n vede</w:t>
            </w:r>
            <w:r w:rsidR="004B7C8B" w:rsidRPr="00323009">
              <w:rPr>
                <w:bCs/>
                <w:color w:val="auto"/>
                <w:lang w:val="ro-RO"/>
              </w:rPr>
              <w:t>r</w:t>
            </w:r>
            <w:r w:rsidR="00C227AE" w:rsidRPr="00323009">
              <w:rPr>
                <w:bCs/>
                <w:color w:val="auto"/>
                <w:lang w:val="ro-RO"/>
              </w:rPr>
              <w:t>e</w:t>
            </w:r>
            <w:r w:rsidR="004B7C8B" w:rsidRPr="00323009">
              <w:rPr>
                <w:color w:val="auto"/>
                <w:lang w:val="ro-RO"/>
              </w:rPr>
              <w:t xml:space="preserve"> următoarele aspecte:</w:t>
            </w:r>
          </w:p>
          <w:p w:rsidR="00332A8E" w:rsidRPr="00323009" w:rsidRDefault="00332A8E" w:rsidP="002679A3">
            <w:pPr>
              <w:pStyle w:val="Default"/>
              <w:numPr>
                <w:ilvl w:val="0"/>
                <w:numId w:val="11"/>
              </w:numPr>
              <w:snapToGrid w:val="0"/>
              <w:spacing w:line="276" w:lineRule="auto"/>
              <w:jc w:val="both"/>
              <w:rPr>
                <w:b/>
                <w:color w:val="auto"/>
                <w:lang w:val="ro-RO"/>
              </w:rPr>
            </w:pPr>
            <w:r w:rsidRPr="00323009">
              <w:rPr>
                <w:b/>
                <w:color w:val="auto"/>
                <w:lang w:val="ro-RO"/>
              </w:rPr>
              <w:t>Aspecte referitoare la dreptul de acces la formare profesională</w:t>
            </w:r>
            <w:r w:rsidR="00F7496D" w:rsidRPr="00323009">
              <w:rPr>
                <w:b/>
                <w:color w:val="auto"/>
                <w:lang w:val="ro-RO"/>
              </w:rPr>
              <w:t xml:space="preserve"> de tip ucenicie la locul de muncă</w:t>
            </w:r>
            <w:r w:rsidRPr="00323009">
              <w:rPr>
                <w:b/>
                <w:color w:val="auto"/>
                <w:lang w:val="ro-RO"/>
              </w:rPr>
              <w:t xml:space="preserve"> </w:t>
            </w:r>
            <w:r w:rsidR="00716204" w:rsidRPr="00323009">
              <w:rPr>
                <w:b/>
                <w:color w:val="auto"/>
                <w:lang w:val="ro-RO"/>
              </w:rPr>
              <w:t>pentru pe</w:t>
            </w:r>
            <w:r w:rsidR="000D4520" w:rsidRPr="00323009">
              <w:rPr>
                <w:b/>
                <w:color w:val="auto"/>
                <w:lang w:val="ro-RO"/>
              </w:rPr>
              <w:t>r</w:t>
            </w:r>
            <w:r w:rsidR="00716204" w:rsidRPr="00323009">
              <w:rPr>
                <w:b/>
                <w:color w:val="auto"/>
                <w:lang w:val="ro-RO"/>
              </w:rPr>
              <w:t>soanele aflate î</w:t>
            </w:r>
            <w:r w:rsidR="00036805" w:rsidRPr="00323009">
              <w:rPr>
                <w:b/>
                <w:color w:val="auto"/>
                <w:lang w:val="ro-RO"/>
              </w:rPr>
              <w:t>n căutarea unui loc de muncă</w:t>
            </w:r>
            <w:r w:rsidR="00F7496D" w:rsidRPr="00323009">
              <w:rPr>
                <w:b/>
                <w:color w:val="auto"/>
                <w:lang w:val="ro-RO"/>
              </w:rPr>
              <w:t xml:space="preserve"> </w:t>
            </w:r>
          </w:p>
          <w:p w:rsidR="001E6D30" w:rsidRPr="00323009" w:rsidRDefault="00E660FB" w:rsidP="002679A3">
            <w:pPr>
              <w:adjustRightInd w:val="0"/>
              <w:snapToGrid w:val="0"/>
              <w:spacing w:line="276" w:lineRule="auto"/>
              <w:jc w:val="both"/>
            </w:pPr>
            <w:r w:rsidRPr="00323009">
              <w:t>Potrivit legislației în vigoare</w:t>
            </w:r>
            <w:r w:rsidR="00794835" w:rsidRPr="00323009">
              <w:t>,</w:t>
            </w:r>
            <w:r w:rsidRPr="00323009">
              <w:t xml:space="preserve"> </w:t>
            </w:r>
            <w:r w:rsidR="00B67568" w:rsidRPr="00323009">
              <w:t>orice persoană are dreptul la o asistență rapidă și adaptată pentru îmbunătățirea perspectivelor de încadrare în muncă sau de desfășurare a unor activități independente. Aceasta include dreptul de a beneficia de sprijin pentru căutarea unui loc de muncă precum și  acces la formare profesională potrivit OG nr. 129/2000 privind formarea profesională a adulţilor, republicată, fără discriminări pe criterii de vârstă, sex, rasă, origine etnică, apartenenţă politică sau religioasă. Potrivit art. 14 (2) din OG 129/2000</w:t>
            </w:r>
            <w:r w:rsidR="004B7C8B" w:rsidRPr="00323009">
              <w:t>:</w:t>
            </w:r>
            <w:r w:rsidR="00B67568" w:rsidRPr="00323009">
              <w:t xml:space="preserve"> </w:t>
            </w:r>
            <w:r w:rsidR="004B7C8B" w:rsidRPr="00323009">
              <w:t>”</w:t>
            </w:r>
            <w:r w:rsidR="00B67568" w:rsidRPr="00323009">
              <w:t>Programele de formare profesională se organizează de furnizorii de formare profesională şi pentru: a) competenţe profesionale comune mai multor ocupaţii b) competenţe-cheie; c) competenţe transversale.</w:t>
            </w:r>
            <w:r w:rsidR="004B7C8B" w:rsidRPr="00323009">
              <w:t>”</w:t>
            </w:r>
            <w:r w:rsidR="002850FD" w:rsidRPr="00323009">
              <w:t xml:space="preserve"> </w:t>
            </w:r>
            <w:r w:rsidR="00B67568" w:rsidRPr="00323009">
              <w:t xml:space="preserve">De </w:t>
            </w:r>
            <w:r w:rsidR="00C05423" w:rsidRPr="00323009">
              <w:t>asemenea</w:t>
            </w:r>
            <w:r w:rsidR="00B67568" w:rsidRPr="00323009">
              <w:t xml:space="preserve">, tinerii </w:t>
            </w:r>
            <w:r w:rsidR="009F711E" w:rsidRPr="00323009">
              <w:t xml:space="preserve">cu vârsta între 16 și 24 de </w:t>
            </w:r>
            <w:r w:rsidR="00C813DA" w:rsidRPr="00323009">
              <w:t xml:space="preserve">ani </w:t>
            </w:r>
            <w:r w:rsidR="007A784A" w:rsidRPr="00323009">
              <w:t>trebuie s</w:t>
            </w:r>
            <w:r w:rsidR="00866932" w:rsidRPr="00323009">
              <w:t>ă</w:t>
            </w:r>
            <w:r w:rsidR="007A784A" w:rsidRPr="00323009">
              <w:t xml:space="preserve"> </w:t>
            </w:r>
            <w:r w:rsidR="009F711E" w:rsidRPr="00323009">
              <w:t>benefi</w:t>
            </w:r>
            <w:r w:rsidR="0070599B" w:rsidRPr="00323009">
              <w:t>ci</w:t>
            </w:r>
            <w:r w:rsidR="001F2061" w:rsidRPr="00323009">
              <w:t>eze</w:t>
            </w:r>
            <w:r w:rsidR="00F7496D" w:rsidRPr="00323009">
              <w:t xml:space="preserve">, după caz, </w:t>
            </w:r>
            <w:r w:rsidR="009F711E" w:rsidRPr="00323009">
              <w:t>de</w:t>
            </w:r>
            <w:r w:rsidR="00B67568" w:rsidRPr="00323009">
              <w:t xml:space="preserve"> continuarea studiilor, ucenicie, stagiu sau o ofertă de muncă de bună calitate în termen de patru </w:t>
            </w:r>
            <w:r w:rsidR="00B67568" w:rsidRPr="00323009">
              <w:lastRenderedPageBreak/>
              <w:t>luni de la intrarea în șomaj sau de la terminarea studiilor</w:t>
            </w:r>
            <w:r w:rsidR="00C813DA" w:rsidRPr="00323009">
              <w:t xml:space="preserve">, conform </w:t>
            </w:r>
            <w:r w:rsidR="002C0985" w:rsidRPr="00323009">
              <w:t>Recomandării Consiliului din 22 aprilie 2013 privind înființarea unei garanții pentru tineret</w:t>
            </w:r>
            <w:r w:rsidR="00D106D5" w:rsidRPr="00323009">
              <w:t>.</w:t>
            </w:r>
            <w:r w:rsidR="00B67568" w:rsidRPr="00323009">
              <w:t xml:space="preserve"> Toate persoanele aflate în căutarea unui loc de muncă au dreptul, potrivit Legii</w:t>
            </w:r>
            <w:r w:rsidR="002850FD" w:rsidRPr="00323009">
              <w:t xml:space="preserve"> nr. </w:t>
            </w:r>
            <w:r w:rsidR="00B67568" w:rsidRPr="00323009">
              <w:t xml:space="preserve">76/2002 privind sistemul asigurărilor pentru şomaj şi stimularea ocupării forţei de muncă cu modificările și completările ulterioare, la sprijin personalizat, continuu și consistent, inclusiv acces la formare profesională adaptată </w:t>
            </w:r>
            <w:r w:rsidR="00C05423" w:rsidRPr="00323009">
              <w:t>atât</w:t>
            </w:r>
            <w:r w:rsidR="00B67568" w:rsidRPr="00323009">
              <w:t xml:space="preserve"> la nevoile persoanei </w:t>
            </w:r>
            <w:r w:rsidR="00C05423" w:rsidRPr="00323009">
              <w:t>cât</w:t>
            </w:r>
            <w:r w:rsidR="00B67568" w:rsidRPr="00323009">
              <w:t xml:space="preserve"> și la nevoile </w:t>
            </w:r>
            <w:r w:rsidR="00C05423" w:rsidRPr="00323009">
              <w:t>pieței</w:t>
            </w:r>
            <w:r w:rsidR="00B67568" w:rsidRPr="00323009">
              <w:t xml:space="preserve"> muncii. </w:t>
            </w:r>
          </w:p>
          <w:p w:rsidR="001E6D30" w:rsidRPr="00323009" w:rsidRDefault="00B67568" w:rsidP="002679A3">
            <w:pPr>
              <w:adjustRightInd w:val="0"/>
              <w:snapToGrid w:val="0"/>
              <w:spacing w:line="276" w:lineRule="auto"/>
              <w:jc w:val="both"/>
            </w:pPr>
            <w:r w:rsidRPr="00323009">
              <w:t xml:space="preserve">Agenția Națională pentru Ocuparea Forței de Muncă, prin structurile teritoriale a identificat un număr foarte mare de persoane care se înregistrează la serviciile publice de ocupare în calitate de persoane aflate în căutarea unui loc de muncă </w:t>
            </w:r>
            <w:r w:rsidR="00C05423" w:rsidRPr="00323009">
              <w:t>care nu au finalizat învățământul</w:t>
            </w:r>
            <w:r w:rsidRPr="00323009">
              <w:t xml:space="preserve"> gimnazial, </w:t>
            </w:r>
            <w:r w:rsidR="00A0035C" w:rsidRPr="00323009">
              <w:t xml:space="preserve">respectiv </w:t>
            </w:r>
            <w:r w:rsidR="00C813DA" w:rsidRPr="00323009">
              <w:t>8 clase</w:t>
            </w:r>
            <w:r w:rsidRPr="00323009">
              <w:t xml:space="preserve">. </w:t>
            </w:r>
          </w:p>
          <w:p w:rsidR="00E154C6" w:rsidRPr="00323009" w:rsidRDefault="00E154C6" w:rsidP="00E154C6">
            <w:pPr>
              <w:adjustRightInd w:val="0"/>
              <w:snapToGrid w:val="0"/>
              <w:spacing w:line="276" w:lineRule="auto"/>
              <w:jc w:val="both"/>
            </w:pPr>
            <w:r w:rsidRPr="00323009">
              <w:t>Potrivit evidențelor Agenției Naționale pentru Ocuparea Forței de Muncă  au fost identificați adulți care au absolvit doar învăţământul primar sau parțial învăţământul secundar inferior/ciclul gimnazial /învățământul gimnazial, fără a obține diploma de absolvire a învățământului gimnazial sau alt act de studii echivalent acesteia.</w:t>
            </w:r>
          </w:p>
          <w:p w:rsidR="00E154C6" w:rsidRPr="00323009" w:rsidRDefault="00E154C6" w:rsidP="002679A3">
            <w:pPr>
              <w:adjustRightInd w:val="0"/>
              <w:snapToGrid w:val="0"/>
              <w:spacing w:line="276" w:lineRule="auto"/>
              <w:jc w:val="both"/>
            </w:pPr>
          </w:p>
          <w:p w:rsidR="00F06302" w:rsidRPr="00323009" w:rsidRDefault="00316336" w:rsidP="002679A3">
            <w:pPr>
              <w:adjustRightInd w:val="0"/>
              <w:snapToGrid w:val="0"/>
              <w:spacing w:line="276" w:lineRule="auto"/>
              <w:jc w:val="both"/>
              <w:rPr>
                <w:b/>
                <w:i/>
              </w:rPr>
            </w:pPr>
            <w:r w:rsidRPr="00323009">
              <w:t xml:space="preserve">Potrivit Buletinului statistic în domeniul muncii și protecției sociale în trimestrul III 2018 </w:t>
            </w:r>
            <w:r w:rsidR="00F06302" w:rsidRPr="00323009">
              <w:t xml:space="preserve">structura şomajului după nivelul de instruire, </w:t>
            </w:r>
            <w:r w:rsidR="00F06302" w:rsidRPr="00323009">
              <w:rPr>
                <w:b/>
                <w:i/>
              </w:rPr>
              <w:t xml:space="preserve">şomerii fără studii și cei cu nivel de instruire primar au o pondere însemnată în totalul şomerilor înregistraţi în evidenţele ANOFM </w:t>
            </w:r>
            <w:r w:rsidR="007C1214" w:rsidRPr="00323009">
              <w:rPr>
                <w:b/>
                <w:i/>
              </w:rPr>
              <w:t xml:space="preserve"> </w:t>
            </w:r>
            <w:r w:rsidR="00F06302" w:rsidRPr="00323009">
              <w:rPr>
                <w:b/>
                <w:i/>
              </w:rPr>
              <w:t>(32,3%).</w:t>
            </w:r>
          </w:p>
          <w:p w:rsidR="003D323A" w:rsidRPr="00323009" w:rsidRDefault="009337B0" w:rsidP="00C73479">
            <w:pPr>
              <w:autoSpaceDE w:val="0"/>
              <w:autoSpaceDN w:val="0"/>
              <w:adjustRightInd w:val="0"/>
              <w:spacing w:line="276" w:lineRule="auto"/>
              <w:jc w:val="both"/>
              <w:rPr>
                <w:lang w:val="en-US" w:eastAsia="en-GB"/>
              </w:rPr>
            </w:pPr>
            <w:r w:rsidRPr="00323009">
              <w:t>P</w:t>
            </w:r>
            <w:r w:rsidR="00C73479" w:rsidRPr="00323009">
              <w:t>rin Legea nr. 93/2019 pentru aprobarea Ordonanţei</w:t>
            </w:r>
            <w:r w:rsidR="00DA21CD" w:rsidRPr="00323009">
              <w:t xml:space="preserve"> de u</w:t>
            </w:r>
            <w:r w:rsidR="00C73479" w:rsidRPr="00323009">
              <w:t>rgenţă nr. 96/2018 privind prorogarea unor termene, precum şi pentru modificarea şi completarea unor acte normative,</w:t>
            </w:r>
            <w:r w:rsidR="00E85BCC" w:rsidRPr="00323009">
              <w:t xml:space="preserve"> a fost introdus nivelul 1</w:t>
            </w:r>
            <w:r w:rsidR="005519BD" w:rsidRPr="00323009">
              <w:t xml:space="preserve"> de calificare cu o durată de cel puțin 6 luni</w:t>
            </w:r>
            <w:r w:rsidR="00DD379F" w:rsidRPr="00323009">
              <w:t xml:space="preserve">, pentru a veni în sprijinul </w:t>
            </w:r>
            <w:r w:rsidRPr="00323009">
              <w:t xml:space="preserve">adulților care nu au finalizat </w:t>
            </w:r>
            <w:r w:rsidR="0070599B" w:rsidRPr="00323009">
              <w:t>învățământul</w:t>
            </w:r>
            <w:r w:rsidRPr="00323009">
              <w:t xml:space="preserve"> gimnazial</w:t>
            </w:r>
            <w:r w:rsidR="00882145" w:rsidRPr="00323009">
              <w:t xml:space="preserve"> </w:t>
            </w:r>
            <w:r w:rsidR="00C17A29" w:rsidRPr="00323009">
              <w:t xml:space="preserve">și </w:t>
            </w:r>
            <w:r w:rsidR="00DD379F" w:rsidRPr="00323009">
              <w:t xml:space="preserve">nu au </w:t>
            </w:r>
            <w:r w:rsidR="00810CC6" w:rsidRPr="00323009">
              <w:t xml:space="preserve">competențe minime </w:t>
            </w:r>
            <w:r w:rsidR="00C17A29" w:rsidRPr="00323009">
              <w:t xml:space="preserve">cerute de angajatori </w:t>
            </w:r>
            <w:r w:rsidR="00810CC6" w:rsidRPr="00323009">
              <w:t xml:space="preserve">pentru </w:t>
            </w:r>
            <w:r w:rsidR="00C17A29" w:rsidRPr="00323009">
              <w:t xml:space="preserve"> ocuparea unui loc</w:t>
            </w:r>
            <w:r w:rsidR="00DD379F" w:rsidRPr="00323009">
              <w:t xml:space="preserve"> </w:t>
            </w:r>
            <w:r w:rsidR="00810CC6" w:rsidRPr="00323009">
              <w:t>de muncă</w:t>
            </w:r>
            <w:r w:rsidR="00882145" w:rsidRPr="00323009">
              <w:t>.</w:t>
            </w:r>
          </w:p>
          <w:p w:rsidR="00B67568" w:rsidRPr="00323009" w:rsidRDefault="00A13499" w:rsidP="002679A3">
            <w:pPr>
              <w:pStyle w:val="Default"/>
              <w:numPr>
                <w:ilvl w:val="0"/>
                <w:numId w:val="11"/>
              </w:numPr>
              <w:snapToGrid w:val="0"/>
              <w:spacing w:line="276" w:lineRule="auto"/>
              <w:jc w:val="both"/>
              <w:rPr>
                <w:b/>
                <w:color w:val="auto"/>
                <w:lang w:val="ro-RO"/>
              </w:rPr>
            </w:pPr>
            <w:r w:rsidRPr="00323009">
              <w:rPr>
                <w:b/>
                <w:color w:val="auto"/>
                <w:lang w:val="ro-RO"/>
              </w:rPr>
              <w:t xml:space="preserve">Aspecte referitoare la </w:t>
            </w:r>
            <w:r w:rsidR="0070599B" w:rsidRPr="00323009">
              <w:rPr>
                <w:b/>
                <w:color w:val="auto"/>
                <w:lang w:val="ro-RO"/>
              </w:rPr>
              <w:t>îmbunătățirea</w:t>
            </w:r>
            <w:r w:rsidR="009E2AED" w:rsidRPr="00323009">
              <w:rPr>
                <w:b/>
                <w:color w:val="auto"/>
                <w:lang w:val="ro-RO"/>
              </w:rPr>
              <w:t xml:space="preserve"> relațiilor contractuale pentru persoanele care </w:t>
            </w:r>
            <w:r w:rsidR="0070599B" w:rsidRPr="00323009">
              <w:rPr>
                <w:b/>
                <w:color w:val="auto"/>
                <w:lang w:val="ro-RO"/>
              </w:rPr>
              <w:t>încheie</w:t>
            </w:r>
            <w:r w:rsidR="009E2AED" w:rsidRPr="00323009">
              <w:rPr>
                <w:b/>
                <w:color w:val="auto"/>
                <w:lang w:val="ro-RO"/>
              </w:rPr>
              <w:t xml:space="preserve"> contracte de ucenicie la locul de muncă</w:t>
            </w:r>
            <w:r w:rsidR="008C5B10" w:rsidRPr="00323009">
              <w:rPr>
                <w:b/>
                <w:color w:val="auto"/>
                <w:lang w:val="ro-RO"/>
              </w:rPr>
              <w:t xml:space="preserve"> </w:t>
            </w:r>
            <w:r w:rsidR="00FC2D04" w:rsidRPr="00323009">
              <w:rPr>
                <w:b/>
                <w:color w:val="auto"/>
                <w:lang w:val="ro-RO"/>
              </w:rPr>
              <w:t xml:space="preserve">  </w:t>
            </w:r>
          </w:p>
          <w:p w:rsidR="00910C28" w:rsidRPr="00323009" w:rsidRDefault="00910C28" w:rsidP="002679A3">
            <w:pPr>
              <w:adjustRightInd w:val="0"/>
              <w:snapToGrid w:val="0"/>
              <w:spacing w:line="276" w:lineRule="auto"/>
              <w:jc w:val="both"/>
              <w:rPr>
                <w:highlight w:val="yellow"/>
              </w:rPr>
            </w:pPr>
            <w:r w:rsidRPr="00323009">
              <w:t xml:space="preserve">Indiferent de tipul și de durata raportului de muncă, lucrătorii au dreptul la un tratament corect și egal în ceea ce privește condițiile de muncă, accesul la protecția socială și formarea profesională. </w:t>
            </w:r>
            <w:r w:rsidR="000015C8" w:rsidRPr="00323009">
              <w:t>Ucenicia la locul de muncă permite t</w:t>
            </w:r>
            <w:r w:rsidRPr="00323009">
              <w:t xml:space="preserve">ranziția către forme de muncă pe durată nedeterminată </w:t>
            </w:r>
            <w:r w:rsidR="000015C8" w:rsidRPr="00323009">
              <w:t xml:space="preserve">și acest context </w:t>
            </w:r>
            <w:r w:rsidRPr="00323009">
              <w:t>trebuie î</w:t>
            </w:r>
            <w:r w:rsidR="00CF5929" w:rsidRPr="00323009">
              <w:t>ncurajată. Raporturile de muncă</w:t>
            </w:r>
            <w:r w:rsidR="000B4F5F" w:rsidRPr="00323009">
              <w:t xml:space="preserve"> de tip ucenicie la locul de muncă </w:t>
            </w:r>
            <w:r w:rsidRPr="00323009">
              <w:t>ce au ca rezultat condiții de muncă</w:t>
            </w:r>
            <w:r w:rsidR="000B4F5F" w:rsidRPr="00323009">
              <w:t xml:space="preserve"> precare trebuie </w:t>
            </w:r>
            <w:r w:rsidR="0070599B" w:rsidRPr="00323009">
              <w:t>îmbunătățite</w:t>
            </w:r>
            <w:r w:rsidR="000B4F5F" w:rsidRPr="00323009">
              <w:t xml:space="preserve"> permanent</w:t>
            </w:r>
            <w:r w:rsidRPr="00323009">
              <w:t xml:space="preserve">. </w:t>
            </w:r>
            <w:r w:rsidR="00810CC6" w:rsidRPr="00323009">
              <w:t xml:space="preserve">De asemenea, ucenicii care au calitatea de părinți/persoane cu responsabilități de îngrijire a copiilor au dreptul la un </w:t>
            </w:r>
            <w:r w:rsidR="00670FFE" w:rsidRPr="00323009">
              <w:t>concediu în condițiile Codului m</w:t>
            </w:r>
            <w:r w:rsidR="00810CC6" w:rsidRPr="00323009">
              <w:t xml:space="preserve">uncii. Femeile și bărbații au un drept egal de acces la concedii în vederea îndeplinirii responsabilităților de îngrijire </w:t>
            </w:r>
            <w:r w:rsidR="00E40EEB" w:rsidRPr="00323009">
              <w:t xml:space="preserve">a copiilor </w:t>
            </w:r>
            <w:r w:rsidR="00810CC6" w:rsidRPr="00323009">
              <w:t xml:space="preserve">și </w:t>
            </w:r>
            <w:r w:rsidR="008D30FF" w:rsidRPr="00323009">
              <w:t xml:space="preserve"> trebuie</w:t>
            </w:r>
            <w:r w:rsidR="007B0B0D" w:rsidRPr="00323009">
              <w:t xml:space="preserve"> să beneficieze de aceste drepturi </w:t>
            </w:r>
            <w:r w:rsidR="00252C04" w:rsidRPr="00323009">
              <w:t xml:space="preserve">conferite de legislația muncii </w:t>
            </w:r>
            <w:r w:rsidR="00C63007" w:rsidRPr="00323009">
              <w:t xml:space="preserve">astfel încât </w:t>
            </w:r>
            <w:r w:rsidR="008D30FF" w:rsidRPr="00323009">
              <w:t>contractele</w:t>
            </w:r>
            <w:r w:rsidR="00C63007" w:rsidRPr="00323009">
              <w:t xml:space="preserve"> de ucenicie să poată fi finalizate</w:t>
            </w:r>
            <w:r w:rsidR="00BE0282" w:rsidRPr="00323009">
              <w:t xml:space="preserve"> </w:t>
            </w:r>
            <w:r w:rsidR="003A7AAA" w:rsidRPr="00323009">
              <w:t>cu obținerea</w:t>
            </w:r>
            <w:r w:rsidR="000F5BCD" w:rsidRPr="00323009">
              <w:t xml:space="preserve"> </w:t>
            </w:r>
            <w:r w:rsidR="00BE0282" w:rsidRPr="00323009">
              <w:t>calificări</w:t>
            </w:r>
            <w:r w:rsidR="003A7AAA" w:rsidRPr="00323009">
              <w:t>i</w:t>
            </w:r>
            <w:r w:rsidR="00BE0282" w:rsidRPr="00323009">
              <w:t xml:space="preserve"> pentru care s</w:t>
            </w:r>
            <w:r w:rsidR="003A7AAA" w:rsidRPr="00323009">
              <w:t>e</w:t>
            </w:r>
            <w:r w:rsidR="00BE0282" w:rsidRPr="00323009">
              <w:t xml:space="preserve"> organiz</w:t>
            </w:r>
            <w:r w:rsidR="003A7AAA" w:rsidRPr="00323009">
              <w:t>ează programul de formare profesională</w:t>
            </w:r>
            <w:r w:rsidR="007029DD" w:rsidRPr="00323009">
              <w:t xml:space="preserve"> în sistemul de formare profesională a adulților.</w:t>
            </w:r>
            <w:r w:rsidR="00BE0282" w:rsidRPr="00323009">
              <w:t xml:space="preserve"> </w:t>
            </w:r>
            <w:r w:rsidR="003A7AAA" w:rsidRPr="00323009">
              <w:t xml:space="preserve"> </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0D7C73" w:rsidRPr="00323009" w:rsidRDefault="002E04B8" w:rsidP="002679A3">
            <w:pPr>
              <w:pStyle w:val="BodyText3"/>
              <w:numPr>
                <w:ilvl w:val="0"/>
                <w:numId w:val="7"/>
              </w:numPr>
              <w:adjustRightInd w:val="0"/>
              <w:snapToGrid w:val="0"/>
              <w:spacing w:line="276" w:lineRule="auto"/>
              <w:ind w:left="0" w:firstLine="0"/>
              <w:rPr>
                <w:b w:val="0"/>
                <w:lang w:val="ro-RO" w:eastAsia="ro-RO"/>
              </w:rPr>
            </w:pPr>
            <w:r w:rsidRPr="00323009">
              <w:rPr>
                <w:lang w:val="ro-RO" w:eastAsia="ro-RO"/>
              </w:rPr>
              <w:lastRenderedPageBreak/>
              <w:t>Schimbări preconizate</w:t>
            </w:r>
          </w:p>
          <w:p w:rsidR="00CF5929" w:rsidRPr="00323009" w:rsidRDefault="00A8796B" w:rsidP="002679A3">
            <w:pPr>
              <w:pStyle w:val="BodyText3"/>
              <w:adjustRightInd w:val="0"/>
              <w:snapToGrid w:val="0"/>
              <w:spacing w:line="276" w:lineRule="auto"/>
              <w:rPr>
                <w:b w:val="0"/>
                <w:lang w:val="ro-RO" w:eastAsia="ro-RO"/>
              </w:rPr>
            </w:pPr>
            <w:r w:rsidRPr="00323009">
              <w:rPr>
                <w:b w:val="0"/>
                <w:lang w:val="ro-RO" w:eastAsia="ro-RO"/>
              </w:rPr>
              <w:t xml:space="preserve">Proiectul de </w:t>
            </w:r>
            <w:r w:rsidR="00341650" w:rsidRPr="00323009">
              <w:rPr>
                <w:b w:val="0"/>
                <w:lang w:val="ro-RO" w:eastAsia="ro-RO"/>
              </w:rPr>
              <w:t xml:space="preserve"> </w:t>
            </w:r>
            <w:r w:rsidRPr="00323009">
              <w:rPr>
                <w:b w:val="0"/>
                <w:lang w:val="ro-RO" w:eastAsia="ro-RO"/>
              </w:rPr>
              <w:t xml:space="preserve">act normativ </w:t>
            </w:r>
            <w:r w:rsidR="00CC6F39" w:rsidRPr="00323009">
              <w:rPr>
                <w:b w:val="0"/>
                <w:lang w:val="ro-RO" w:eastAsia="ro-RO"/>
              </w:rPr>
              <w:t xml:space="preserve">vizează </w:t>
            </w:r>
            <w:r w:rsidR="00CF5929" w:rsidRPr="00323009">
              <w:rPr>
                <w:b w:val="0"/>
                <w:bCs w:val="0"/>
                <w:lang w:val="ro-RO"/>
              </w:rPr>
              <w:t>modificarea și completarea</w:t>
            </w:r>
            <w:r w:rsidR="009750DD" w:rsidRPr="00323009">
              <w:rPr>
                <w:b w:val="0"/>
                <w:lang w:val="ro-RO" w:eastAsia="ro-RO"/>
              </w:rPr>
              <w:t xml:space="preserve"> Normelor metodologice de aplicare a prevederilor Legii nr. 279/2005 privind ucenicia la locul de muncă, aprobate prin Hotărârea Guvernului nr. 855/2013</w:t>
            </w:r>
            <w:r w:rsidR="009B161B" w:rsidRPr="00323009">
              <w:rPr>
                <w:b w:val="0"/>
                <w:lang w:val="ro-RO" w:eastAsia="ro-RO"/>
              </w:rPr>
              <w:t>, cu modificările și completările ulterioare.</w:t>
            </w:r>
          </w:p>
          <w:p w:rsidR="00861D40" w:rsidRPr="00323009" w:rsidRDefault="008E7DD3" w:rsidP="002679A3">
            <w:pPr>
              <w:pStyle w:val="BodyText3"/>
              <w:adjustRightInd w:val="0"/>
              <w:snapToGrid w:val="0"/>
              <w:spacing w:line="276" w:lineRule="auto"/>
              <w:rPr>
                <w:b w:val="0"/>
                <w:lang w:val="ro-RO" w:eastAsia="ro-RO"/>
              </w:rPr>
            </w:pPr>
            <w:r w:rsidRPr="00323009">
              <w:rPr>
                <w:b w:val="0"/>
                <w:lang w:val="ro-RO" w:eastAsia="ro-RO"/>
              </w:rPr>
              <w:t>P</w:t>
            </w:r>
            <w:r w:rsidR="00E2365E" w:rsidRPr="00323009">
              <w:rPr>
                <w:b w:val="0"/>
                <w:lang w:val="ro-RO" w:eastAsia="ro-RO"/>
              </w:rPr>
              <w:t xml:space="preserve">roiectul de </w:t>
            </w:r>
            <w:r w:rsidR="00D04FB8" w:rsidRPr="00323009">
              <w:rPr>
                <w:b w:val="0"/>
                <w:lang w:val="ro-RO" w:eastAsia="ro-RO"/>
              </w:rPr>
              <w:t xml:space="preserve"> </w:t>
            </w:r>
            <w:r w:rsidR="0037727E" w:rsidRPr="00323009">
              <w:rPr>
                <w:b w:val="0"/>
                <w:lang w:val="ro-RO" w:eastAsia="ro-RO"/>
              </w:rPr>
              <w:t>act normativ</w:t>
            </w:r>
            <w:r w:rsidRPr="00323009">
              <w:rPr>
                <w:b w:val="0"/>
                <w:lang w:val="ro-RO" w:eastAsia="ro-RO"/>
              </w:rPr>
              <w:t xml:space="preserve"> </w:t>
            </w:r>
            <w:r w:rsidR="00015D8C" w:rsidRPr="00323009">
              <w:rPr>
                <w:b w:val="0"/>
                <w:lang w:val="ro-RO" w:eastAsia="ro-RO"/>
              </w:rPr>
              <w:t>propun</w:t>
            </w:r>
            <w:r w:rsidRPr="00323009">
              <w:rPr>
                <w:b w:val="0"/>
                <w:lang w:val="ro-RO" w:eastAsia="ro-RO"/>
              </w:rPr>
              <w:t>e</w:t>
            </w:r>
            <w:r w:rsidR="001C4325" w:rsidRPr="00323009">
              <w:rPr>
                <w:lang w:val="ro-RO" w:eastAsia="ro-RO"/>
              </w:rPr>
              <w:t>:</w:t>
            </w:r>
          </w:p>
          <w:p w:rsidR="00E34710" w:rsidRPr="00323009" w:rsidRDefault="005B62C6" w:rsidP="003430F8">
            <w:pPr>
              <w:pStyle w:val="Default"/>
              <w:numPr>
                <w:ilvl w:val="0"/>
                <w:numId w:val="15"/>
              </w:numPr>
              <w:snapToGrid w:val="0"/>
              <w:spacing w:line="276" w:lineRule="auto"/>
              <w:ind w:left="601" w:hanging="241"/>
              <w:contextualSpacing/>
              <w:jc w:val="both"/>
              <w:rPr>
                <w:b/>
                <w:color w:val="auto"/>
                <w:lang w:val="ro-RO"/>
              </w:rPr>
            </w:pPr>
            <w:r w:rsidRPr="00323009">
              <w:rPr>
                <w:color w:val="auto"/>
                <w:lang w:val="ro-RO"/>
              </w:rPr>
              <w:t xml:space="preserve"> </w:t>
            </w:r>
            <w:r w:rsidRPr="00323009">
              <w:rPr>
                <w:b/>
                <w:color w:val="auto"/>
                <w:lang w:val="ro-RO"/>
              </w:rPr>
              <w:t>detalierea aspectelor prevăzute la art. VI</w:t>
            </w:r>
            <w:r w:rsidR="00732CF6" w:rsidRPr="00323009">
              <w:rPr>
                <w:color w:val="auto"/>
              </w:rPr>
              <w:t xml:space="preserve"> din </w:t>
            </w:r>
            <w:proofErr w:type="spellStart"/>
            <w:r w:rsidR="00732CF6" w:rsidRPr="00323009">
              <w:rPr>
                <w:color w:val="auto"/>
              </w:rPr>
              <w:t>Legea</w:t>
            </w:r>
            <w:proofErr w:type="spellEnd"/>
            <w:r w:rsidR="00732CF6" w:rsidRPr="00323009">
              <w:rPr>
                <w:color w:val="auto"/>
              </w:rPr>
              <w:t xml:space="preserve"> </w:t>
            </w:r>
            <w:proofErr w:type="spellStart"/>
            <w:r w:rsidR="00732CF6" w:rsidRPr="00323009">
              <w:rPr>
                <w:color w:val="auto"/>
              </w:rPr>
              <w:t>nr</w:t>
            </w:r>
            <w:proofErr w:type="spellEnd"/>
            <w:r w:rsidR="00732CF6" w:rsidRPr="00323009">
              <w:rPr>
                <w:color w:val="auto"/>
              </w:rPr>
              <w:t>. 93/</w:t>
            </w:r>
            <w:proofErr w:type="gramStart"/>
            <w:r w:rsidR="00732CF6" w:rsidRPr="00323009">
              <w:rPr>
                <w:color w:val="auto"/>
              </w:rPr>
              <w:t xml:space="preserve">2019  </w:t>
            </w:r>
            <w:proofErr w:type="spellStart"/>
            <w:r w:rsidR="00DC7AB7" w:rsidRPr="00323009">
              <w:rPr>
                <w:color w:val="auto"/>
              </w:rPr>
              <w:t>pentru</w:t>
            </w:r>
            <w:proofErr w:type="spellEnd"/>
            <w:proofErr w:type="gramEnd"/>
            <w:r w:rsidR="00DC7AB7" w:rsidRPr="00323009">
              <w:rPr>
                <w:color w:val="auto"/>
              </w:rPr>
              <w:t xml:space="preserve"> </w:t>
            </w:r>
            <w:proofErr w:type="spellStart"/>
            <w:r w:rsidR="00DC7AB7" w:rsidRPr="00323009">
              <w:rPr>
                <w:color w:val="auto"/>
              </w:rPr>
              <w:t>aprobarea</w:t>
            </w:r>
            <w:proofErr w:type="spellEnd"/>
            <w:r w:rsidR="00DC7AB7" w:rsidRPr="00323009">
              <w:rPr>
                <w:color w:val="auto"/>
              </w:rPr>
              <w:t xml:space="preserve"> </w:t>
            </w:r>
            <w:proofErr w:type="spellStart"/>
            <w:r w:rsidR="00DC7AB7" w:rsidRPr="00323009">
              <w:rPr>
                <w:color w:val="auto"/>
              </w:rPr>
              <w:t>Ordonanţei</w:t>
            </w:r>
            <w:proofErr w:type="spellEnd"/>
            <w:r w:rsidR="00DA21CD" w:rsidRPr="00323009">
              <w:rPr>
                <w:color w:val="auto"/>
              </w:rPr>
              <w:t xml:space="preserve"> de </w:t>
            </w:r>
            <w:proofErr w:type="spellStart"/>
            <w:r w:rsidR="00DA21CD" w:rsidRPr="00323009">
              <w:rPr>
                <w:color w:val="auto"/>
              </w:rPr>
              <w:t>u</w:t>
            </w:r>
            <w:r w:rsidR="00DC7AB7" w:rsidRPr="00323009">
              <w:rPr>
                <w:color w:val="auto"/>
              </w:rPr>
              <w:t>rgenţă</w:t>
            </w:r>
            <w:proofErr w:type="spellEnd"/>
            <w:r w:rsidR="00DC7AB7" w:rsidRPr="00323009">
              <w:rPr>
                <w:color w:val="auto"/>
              </w:rPr>
              <w:t xml:space="preserve"> </w:t>
            </w:r>
            <w:proofErr w:type="spellStart"/>
            <w:r w:rsidR="00DC7AB7" w:rsidRPr="00323009">
              <w:rPr>
                <w:color w:val="auto"/>
              </w:rPr>
              <w:t>nr</w:t>
            </w:r>
            <w:proofErr w:type="spellEnd"/>
            <w:r w:rsidR="00DC7AB7" w:rsidRPr="00323009">
              <w:rPr>
                <w:color w:val="auto"/>
              </w:rPr>
              <w:t xml:space="preserve">. 96/2018 </w:t>
            </w:r>
            <w:proofErr w:type="spellStart"/>
            <w:r w:rsidR="00DC7AB7" w:rsidRPr="00323009">
              <w:rPr>
                <w:color w:val="auto"/>
              </w:rPr>
              <w:t>privind</w:t>
            </w:r>
            <w:proofErr w:type="spellEnd"/>
            <w:r w:rsidR="00DC7AB7" w:rsidRPr="00323009">
              <w:rPr>
                <w:color w:val="auto"/>
              </w:rPr>
              <w:t xml:space="preserve"> </w:t>
            </w:r>
            <w:proofErr w:type="spellStart"/>
            <w:r w:rsidR="00DC7AB7" w:rsidRPr="00323009">
              <w:rPr>
                <w:color w:val="auto"/>
              </w:rPr>
              <w:t>prorogarea</w:t>
            </w:r>
            <w:proofErr w:type="spellEnd"/>
            <w:r w:rsidR="00DC7AB7" w:rsidRPr="00323009">
              <w:rPr>
                <w:color w:val="auto"/>
              </w:rPr>
              <w:t xml:space="preserve"> </w:t>
            </w:r>
            <w:proofErr w:type="spellStart"/>
            <w:r w:rsidR="00DC7AB7" w:rsidRPr="00323009">
              <w:rPr>
                <w:color w:val="auto"/>
              </w:rPr>
              <w:t>unor</w:t>
            </w:r>
            <w:proofErr w:type="spellEnd"/>
            <w:r w:rsidR="00DC7AB7" w:rsidRPr="00323009">
              <w:rPr>
                <w:color w:val="auto"/>
              </w:rPr>
              <w:t xml:space="preserve"> </w:t>
            </w:r>
            <w:proofErr w:type="spellStart"/>
            <w:r w:rsidR="00DC7AB7" w:rsidRPr="00323009">
              <w:rPr>
                <w:color w:val="auto"/>
              </w:rPr>
              <w:t>termene</w:t>
            </w:r>
            <w:proofErr w:type="spellEnd"/>
            <w:r w:rsidR="00DC7AB7" w:rsidRPr="00323009">
              <w:rPr>
                <w:color w:val="auto"/>
              </w:rPr>
              <w:t xml:space="preserve">, </w:t>
            </w:r>
            <w:proofErr w:type="spellStart"/>
            <w:r w:rsidR="00DC7AB7" w:rsidRPr="00323009">
              <w:rPr>
                <w:color w:val="auto"/>
              </w:rPr>
              <w:t>precum</w:t>
            </w:r>
            <w:proofErr w:type="spellEnd"/>
            <w:r w:rsidR="00DC7AB7" w:rsidRPr="00323009">
              <w:rPr>
                <w:color w:val="auto"/>
              </w:rPr>
              <w:t xml:space="preserve"> </w:t>
            </w:r>
            <w:proofErr w:type="spellStart"/>
            <w:r w:rsidR="00DC7AB7" w:rsidRPr="00323009">
              <w:rPr>
                <w:color w:val="auto"/>
              </w:rPr>
              <w:t>şi</w:t>
            </w:r>
            <w:proofErr w:type="spellEnd"/>
            <w:r w:rsidR="00DC7AB7" w:rsidRPr="00323009">
              <w:rPr>
                <w:color w:val="auto"/>
              </w:rPr>
              <w:t xml:space="preserve"> </w:t>
            </w:r>
            <w:proofErr w:type="spellStart"/>
            <w:r w:rsidR="00DC7AB7" w:rsidRPr="00323009">
              <w:rPr>
                <w:color w:val="auto"/>
              </w:rPr>
              <w:t>pentru</w:t>
            </w:r>
            <w:proofErr w:type="spellEnd"/>
            <w:r w:rsidR="00DC7AB7" w:rsidRPr="00323009">
              <w:rPr>
                <w:color w:val="auto"/>
              </w:rPr>
              <w:t xml:space="preserve"> </w:t>
            </w:r>
            <w:proofErr w:type="spellStart"/>
            <w:r w:rsidR="00DC7AB7" w:rsidRPr="00323009">
              <w:rPr>
                <w:color w:val="auto"/>
              </w:rPr>
              <w:t>modificarea</w:t>
            </w:r>
            <w:proofErr w:type="spellEnd"/>
            <w:r w:rsidR="00DC7AB7" w:rsidRPr="00323009">
              <w:rPr>
                <w:color w:val="auto"/>
              </w:rPr>
              <w:t xml:space="preserve"> </w:t>
            </w:r>
            <w:proofErr w:type="spellStart"/>
            <w:r w:rsidR="00DC7AB7" w:rsidRPr="00323009">
              <w:rPr>
                <w:color w:val="auto"/>
              </w:rPr>
              <w:t>şi</w:t>
            </w:r>
            <w:proofErr w:type="spellEnd"/>
            <w:r w:rsidR="00DC7AB7" w:rsidRPr="00323009">
              <w:rPr>
                <w:color w:val="auto"/>
              </w:rPr>
              <w:t xml:space="preserve"> </w:t>
            </w:r>
            <w:proofErr w:type="spellStart"/>
            <w:r w:rsidR="00DC7AB7" w:rsidRPr="00323009">
              <w:rPr>
                <w:color w:val="auto"/>
              </w:rPr>
              <w:t>completarea</w:t>
            </w:r>
            <w:proofErr w:type="spellEnd"/>
            <w:r w:rsidR="00DC7AB7" w:rsidRPr="00323009">
              <w:rPr>
                <w:color w:val="auto"/>
              </w:rPr>
              <w:t xml:space="preserve"> </w:t>
            </w:r>
            <w:proofErr w:type="spellStart"/>
            <w:r w:rsidR="00DC7AB7" w:rsidRPr="00323009">
              <w:rPr>
                <w:color w:val="auto"/>
              </w:rPr>
              <w:t>unor</w:t>
            </w:r>
            <w:proofErr w:type="spellEnd"/>
            <w:r w:rsidR="00DC7AB7" w:rsidRPr="00323009">
              <w:rPr>
                <w:color w:val="auto"/>
              </w:rPr>
              <w:t xml:space="preserve"> </w:t>
            </w:r>
            <w:proofErr w:type="spellStart"/>
            <w:r w:rsidR="00DC7AB7" w:rsidRPr="00323009">
              <w:rPr>
                <w:color w:val="auto"/>
              </w:rPr>
              <w:t>acte</w:t>
            </w:r>
            <w:proofErr w:type="spellEnd"/>
            <w:r w:rsidR="00DC7AB7" w:rsidRPr="00323009">
              <w:rPr>
                <w:color w:val="auto"/>
              </w:rPr>
              <w:t xml:space="preserve"> normative:</w:t>
            </w:r>
            <w:r w:rsidRPr="00323009">
              <w:rPr>
                <w:b/>
                <w:color w:val="auto"/>
                <w:lang w:val="ro-RO"/>
              </w:rPr>
              <w:t xml:space="preserve">   </w:t>
            </w:r>
          </w:p>
          <w:p w:rsidR="009D20C3" w:rsidRPr="00323009" w:rsidRDefault="009D20C3" w:rsidP="002679A3">
            <w:pPr>
              <w:pStyle w:val="Default"/>
              <w:snapToGrid w:val="0"/>
              <w:spacing w:line="276" w:lineRule="auto"/>
              <w:contextualSpacing/>
              <w:jc w:val="both"/>
              <w:rPr>
                <w:color w:val="auto"/>
                <w:lang w:val="ro-RO"/>
              </w:rPr>
            </w:pPr>
            <w:r w:rsidRPr="00323009">
              <w:rPr>
                <w:color w:val="auto"/>
                <w:lang w:val="ro-RO"/>
              </w:rPr>
              <w:t xml:space="preserve">- durata necesară pregătirii teoretice şi practice </w:t>
            </w:r>
            <w:r w:rsidR="009C1D25" w:rsidRPr="00323009">
              <w:rPr>
                <w:color w:val="auto"/>
                <w:lang w:val="ro-RO"/>
              </w:rPr>
              <w:t>prin ucenicie la locul de muncă</w:t>
            </w:r>
            <w:r w:rsidRPr="00323009">
              <w:rPr>
                <w:color w:val="auto"/>
                <w:lang w:val="ro-RO"/>
              </w:rPr>
              <w:t xml:space="preserve">, prevăzută la art. 6 alin. (5) lit. e) din lege, </w:t>
            </w:r>
            <w:r w:rsidR="009C1D25" w:rsidRPr="00323009">
              <w:rPr>
                <w:color w:val="auto"/>
                <w:lang w:val="ro-RO"/>
              </w:rPr>
              <w:t xml:space="preserve">reprezintă </w:t>
            </w:r>
            <w:r w:rsidRPr="00323009">
              <w:rPr>
                <w:color w:val="auto"/>
                <w:lang w:val="ro-RO"/>
              </w:rPr>
              <w:t xml:space="preserve">durata minimă a programului de formare profesională prin ucenicie la locul </w:t>
            </w:r>
            <w:r w:rsidRPr="00323009">
              <w:rPr>
                <w:color w:val="auto"/>
                <w:lang w:val="ro-RO"/>
              </w:rPr>
              <w:lastRenderedPageBreak/>
              <w:t>de muncă, exprimată în ore pentru pregătirea teoretică şi practică, pe niveluri de calificare, respectiv:</w:t>
            </w:r>
          </w:p>
          <w:p w:rsidR="009D20C3" w:rsidRPr="00323009" w:rsidRDefault="00DE6F1B" w:rsidP="002679A3">
            <w:pPr>
              <w:adjustRightInd w:val="0"/>
              <w:snapToGrid w:val="0"/>
              <w:spacing w:line="276" w:lineRule="auto"/>
              <w:ind w:left="720"/>
              <w:contextualSpacing/>
              <w:jc w:val="both"/>
            </w:pPr>
            <w:r w:rsidRPr="00323009">
              <w:t xml:space="preserve">a) </w:t>
            </w:r>
            <w:r w:rsidR="009D20C3" w:rsidRPr="00323009">
              <w:t>180 de ore pentru nivelul 1 de calificare</w:t>
            </w:r>
          </w:p>
          <w:p w:rsidR="009D20C3" w:rsidRPr="00323009" w:rsidRDefault="009D20C3" w:rsidP="002679A3">
            <w:pPr>
              <w:adjustRightInd w:val="0"/>
              <w:snapToGrid w:val="0"/>
              <w:spacing w:line="276" w:lineRule="auto"/>
              <w:ind w:left="720"/>
              <w:contextualSpacing/>
              <w:jc w:val="both"/>
            </w:pPr>
            <w:r w:rsidRPr="00323009">
              <w:t>b) 360 de ore pentru nivelul 2 de calificare;</w:t>
            </w:r>
          </w:p>
          <w:p w:rsidR="009D20C3" w:rsidRPr="00323009" w:rsidRDefault="009D20C3" w:rsidP="002679A3">
            <w:pPr>
              <w:adjustRightInd w:val="0"/>
              <w:snapToGrid w:val="0"/>
              <w:spacing w:line="276" w:lineRule="auto"/>
              <w:ind w:left="720"/>
              <w:contextualSpacing/>
              <w:jc w:val="both"/>
            </w:pPr>
            <w:r w:rsidRPr="00323009">
              <w:t>c) 720 de ore pentru nivelul 3 de calificare;</w:t>
            </w:r>
          </w:p>
          <w:p w:rsidR="009D20C3" w:rsidRPr="00323009" w:rsidRDefault="009D20C3" w:rsidP="002679A3">
            <w:pPr>
              <w:adjustRightInd w:val="0"/>
              <w:snapToGrid w:val="0"/>
              <w:spacing w:line="276" w:lineRule="auto"/>
              <w:ind w:left="720"/>
              <w:contextualSpacing/>
              <w:jc w:val="both"/>
            </w:pPr>
            <w:r w:rsidRPr="00323009">
              <w:t xml:space="preserve">d) 1.080 de ore </w:t>
            </w:r>
            <w:r w:rsidR="009C1D25" w:rsidRPr="00323009">
              <w:t>pentru nivelul 4 de calificare.</w:t>
            </w:r>
          </w:p>
          <w:p w:rsidR="00593F3B" w:rsidRPr="00323009" w:rsidRDefault="00593F3B" w:rsidP="002679A3">
            <w:pPr>
              <w:autoSpaceDE w:val="0"/>
              <w:autoSpaceDN w:val="0"/>
              <w:adjustRightInd w:val="0"/>
              <w:spacing w:line="276" w:lineRule="auto"/>
              <w:jc w:val="both"/>
              <w:rPr>
                <w:lang w:eastAsia="en-GB"/>
              </w:rPr>
            </w:pPr>
            <w:r w:rsidRPr="00323009">
              <w:rPr>
                <w:lang w:eastAsia="en-GB"/>
              </w:rPr>
              <w:t>- mod</w:t>
            </w:r>
            <w:r w:rsidR="00F4152C" w:rsidRPr="00323009">
              <w:rPr>
                <w:lang w:eastAsia="en-GB"/>
              </w:rPr>
              <w:t xml:space="preserve">ificarea  modelului convenţiei </w:t>
            </w:r>
            <w:r w:rsidRPr="00323009">
              <w:rPr>
                <w:lang w:eastAsia="en-GB"/>
              </w:rPr>
              <w:t xml:space="preserve">care se </w:t>
            </w:r>
            <w:r w:rsidR="000D4520" w:rsidRPr="00323009">
              <w:rPr>
                <w:lang w:eastAsia="en-GB"/>
              </w:rPr>
              <w:t>încheie</w:t>
            </w:r>
            <w:r w:rsidRPr="00323009">
              <w:rPr>
                <w:lang w:eastAsia="en-GB"/>
              </w:rPr>
              <w:t xml:space="preserve"> </w:t>
            </w:r>
            <w:r w:rsidR="00B722C7" w:rsidRPr="00323009">
              <w:rPr>
                <w:lang w:eastAsia="en-GB"/>
              </w:rPr>
              <w:t>î</w:t>
            </w:r>
            <w:r w:rsidRPr="00323009">
              <w:rPr>
                <w:lang w:eastAsia="en-GB"/>
              </w:rPr>
              <w:t xml:space="preserve">ntre angajator și agenţia pentru ocuparea forţei de muncă judeţeană în sensul introducerii în cadrul </w:t>
            </w:r>
            <w:r w:rsidR="000D4520" w:rsidRPr="00323009">
              <w:rPr>
                <w:lang w:eastAsia="en-GB"/>
              </w:rPr>
              <w:t>conținutului</w:t>
            </w:r>
            <w:r w:rsidRPr="00323009">
              <w:rPr>
                <w:lang w:eastAsia="en-GB"/>
              </w:rPr>
              <w:t xml:space="preserve"> acesteia a unor </w:t>
            </w:r>
            <w:r w:rsidR="00CC5AEB" w:rsidRPr="00323009">
              <w:rPr>
                <w:lang w:eastAsia="en-GB"/>
              </w:rPr>
              <w:t>prevederi</w:t>
            </w:r>
            <w:r w:rsidR="006D625D" w:rsidRPr="00323009">
              <w:rPr>
                <w:lang w:eastAsia="en-GB"/>
              </w:rPr>
              <w:t xml:space="preserve"> </w:t>
            </w:r>
            <w:r w:rsidRPr="00323009">
              <w:rPr>
                <w:lang w:eastAsia="en-GB"/>
              </w:rPr>
              <w:t>referitoare la  următoarele aspect</w:t>
            </w:r>
            <w:r w:rsidR="007300BB" w:rsidRPr="00323009">
              <w:rPr>
                <w:lang w:eastAsia="en-GB"/>
              </w:rPr>
              <w:t>e</w:t>
            </w:r>
            <w:r w:rsidRPr="00323009">
              <w:rPr>
                <w:lang w:eastAsia="en-GB"/>
              </w:rPr>
              <w:t xml:space="preserve">: </w:t>
            </w:r>
            <w:r w:rsidRPr="00323009">
              <w:t>anterior încheierii contractului de ucenicie</w:t>
            </w:r>
            <w:r w:rsidR="00870C15" w:rsidRPr="00323009">
              <w:t>,</w:t>
            </w:r>
            <w:r w:rsidRPr="00323009">
              <w:t xml:space="preserve"> angajatorul nu a avut cu persoana în cauză încheiate alte contracte de ucenicie pentru aceeaşi calificare; angajatorul nu organizează programe de ucenicie în acelaşi domeniu de activitate în care ucen</w:t>
            </w:r>
            <w:r w:rsidR="00292EDC" w:rsidRPr="00323009">
              <w:t xml:space="preserve">icul deţine deja </w:t>
            </w:r>
            <w:r w:rsidR="00CC5520" w:rsidRPr="00323009">
              <w:t>acte de calificare/absolvire sau certificate de competențe profesionale, cu recunoaștere națională,</w:t>
            </w:r>
            <w:r w:rsidRPr="00323009">
              <w:t>; în ultimul an nu a fost în raporturi de muncă cu persoana care urmează să încheie contract de ucenicie, cu excepţia situaţiei în care pentru persoana respectivă a fost încheiat contract individual de muncă pe perioada vaca</w:t>
            </w:r>
            <w:r w:rsidR="009D69A9" w:rsidRPr="00323009">
              <w:t>nţelor, în condiţiile Legii nr.</w:t>
            </w:r>
            <w:r w:rsidRPr="00323009">
              <w:t>72/2007 privind stimularea încadrării în muncă a elevilor şi studenţilor, cu modificările ulterioare;</w:t>
            </w:r>
            <w:r w:rsidR="00D63162" w:rsidRPr="00323009">
              <w:t xml:space="preserve"> nu se află în situaţia de insolvenţă, în procedură de executare silită, reorganizare judiciară, faliment, dizolvare, lichidare ori administrare specială, nu au activităţile suspendate sau restricţii asupra acestora.</w:t>
            </w:r>
          </w:p>
          <w:p w:rsidR="00682D5B" w:rsidRPr="00323009" w:rsidRDefault="00545682" w:rsidP="002679A3">
            <w:pPr>
              <w:autoSpaceDE w:val="0"/>
              <w:autoSpaceDN w:val="0"/>
              <w:adjustRightInd w:val="0"/>
              <w:spacing w:line="276" w:lineRule="auto"/>
              <w:jc w:val="both"/>
              <w:rPr>
                <w:lang w:eastAsia="en-GB"/>
              </w:rPr>
            </w:pPr>
            <w:r w:rsidRPr="00323009">
              <w:rPr>
                <w:lang w:eastAsia="en-GB"/>
              </w:rPr>
              <w:t xml:space="preserve">- </w:t>
            </w:r>
            <w:r w:rsidR="005D2E32" w:rsidRPr="00323009">
              <w:rPr>
                <w:lang w:eastAsia="en-GB"/>
              </w:rPr>
              <w:t>stabilirea î</w:t>
            </w:r>
            <w:r w:rsidRPr="00323009">
              <w:rPr>
                <w:lang w:eastAsia="en-GB"/>
              </w:rPr>
              <w:t xml:space="preserve">n clar a </w:t>
            </w:r>
            <w:r w:rsidR="005B5BE5" w:rsidRPr="00323009">
              <w:rPr>
                <w:lang w:eastAsia="en-GB"/>
              </w:rPr>
              <w:t>motive</w:t>
            </w:r>
            <w:r w:rsidR="00A27F21" w:rsidRPr="00323009">
              <w:rPr>
                <w:lang w:eastAsia="en-GB"/>
              </w:rPr>
              <w:t>l</w:t>
            </w:r>
            <w:r w:rsidR="008C5764" w:rsidRPr="00323009">
              <w:rPr>
                <w:lang w:eastAsia="en-GB"/>
              </w:rPr>
              <w:t>or</w:t>
            </w:r>
            <w:r w:rsidR="005B5BE5" w:rsidRPr="00323009">
              <w:rPr>
                <w:lang w:eastAsia="en-GB"/>
              </w:rPr>
              <w:t xml:space="preserve"> imputabile ucenicului, în sensul art. 20 alineatele (1) și (2), litera f)</w:t>
            </w:r>
            <w:r w:rsidR="00682D5B" w:rsidRPr="00323009">
              <w:rPr>
                <w:lang w:eastAsia="en-GB"/>
              </w:rPr>
              <w:t>:</w:t>
            </w:r>
            <w:r w:rsidR="005B5BE5" w:rsidRPr="00323009">
              <w:rPr>
                <w:lang w:eastAsia="en-GB"/>
              </w:rPr>
              <w:t xml:space="preserve"> </w:t>
            </w:r>
          </w:p>
          <w:p w:rsidR="005B5BE5" w:rsidRPr="00323009" w:rsidRDefault="005B5BE5" w:rsidP="002679A3">
            <w:pPr>
              <w:pStyle w:val="ListParagraph"/>
              <w:numPr>
                <w:ilvl w:val="0"/>
                <w:numId w:val="19"/>
              </w:numPr>
              <w:tabs>
                <w:tab w:val="left" w:pos="284"/>
              </w:tabs>
              <w:autoSpaceDE w:val="0"/>
              <w:autoSpaceDN w:val="0"/>
              <w:adjustRightInd w:val="0"/>
              <w:jc w:val="both"/>
              <w:rPr>
                <w:rFonts w:ascii="Times New Roman" w:hAnsi="Times New Roman"/>
                <w:sz w:val="24"/>
                <w:szCs w:val="24"/>
                <w:lang w:val="ro-RO" w:eastAsia="en-GB"/>
              </w:rPr>
            </w:pPr>
            <w:r w:rsidRPr="00323009">
              <w:rPr>
                <w:rFonts w:ascii="Times New Roman" w:hAnsi="Times New Roman"/>
                <w:sz w:val="24"/>
                <w:szCs w:val="24"/>
                <w:lang w:val="ro-RO" w:eastAsia="en-GB"/>
              </w:rPr>
              <w:t>încetarea raportului de muncă în temeiul art. 61 litera a) din Legea nr. 53/2003 Codul muncii, republicată, cu modificările și completările ulterioare;</w:t>
            </w:r>
          </w:p>
          <w:p w:rsidR="005B5BE5" w:rsidRPr="00323009" w:rsidRDefault="005B5BE5" w:rsidP="002679A3">
            <w:pPr>
              <w:pStyle w:val="ListParagraph"/>
              <w:numPr>
                <w:ilvl w:val="0"/>
                <w:numId w:val="19"/>
              </w:numPr>
              <w:tabs>
                <w:tab w:val="left" w:pos="284"/>
              </w:tabs>
              <w:autoSpaceDE w:val="0"/>
              <w:autoSpaceDN w:val="0"/>
              <w:adjustRightInd w:val="0"/>
              <w:jc w:val="both"/>
              <w:rPr>
                <w:rFonts w:ascii="Times New Roman" w:hAnsi="Times New Roman"/>
                <w:sz w:val="24"/>
                <w:szCs w:val="24"/>
                <w:lang w:val="ro-RO" w:eastAsia="en-GB"/>
              </w:rPr>
            </w:pPr>
            <w:r w:rsidRPr="00323009">
              <w:rPr>
                <w:rFonts w:ascii="Times New Roman" w:hAnsi="Times New Roman"/>
                <w:sz w:val="24"/>
                <w:szCs w:val="24"/>
                <w:lang w:val="ro-RO" w:eastAsia="en-GB"/>
              </w:rPr>
              <w:t>încetarea raportului de muncă prin demisie, conform art.81 alin.(1) din Legea nr. 53/2003 Codul muncii, republicată, cu modificările și completările ulterioare.</w:t>
            </w:r>
          </w:p>
          <w:p w:rsidR="00252813" w:rsidRPr="00323009" w:rsidRDefault="00107F6B" w:rsidP="002679A3">
            <w:pPr>
              <w:numPr>
                <w:ilvl w:val="0"/>
                <w:numId w:val="15"/>
              </w:numPr>
              <w:autoSpaceDE w:val="0"/>
              <w:autoSpaceDN w:val="0"/>
              <w:adjustRightInd w:val="0"/>
              <w:snapToGrid w:val="0"/>
              <w:spacing w:line="276" w:lineRule="auto"/>
              <w:ind w:left="709" w:hanging="349"/>
              <w:jc w:val="both"/>
              <w:rPr>
                <w:b/>
                <w:iCs/>
              </w:rPr>
            </w:pPr>
            <w:r w:rsidRPr="00323009">
              <w:rPr>
                <w:b/>
                <w:iCs/>
              </w:rPr>
              <w:t>R</w:t>
            </w:r>
            <w:r w:rsidR="00252813" w:rsidRPr="00323009">
              <w:rPr>
                <w:b/>
                <w:iCs/>
              </w:rPr>
              <w:t xml:space="preserve">eglementări </w:t>
            </w:r>
            <w:r w:rsidR="00014E4E" w:rsidRPr="00323009">
              <w:rPr>
                <w:b/>
                <w:iCs/>
              </w:rPr>
              <w:t xml:space="preserve">propuse de angajatori și Agenția Națională pentru Ocuparea Forței de Muncă </w:t>
            </w:r>
            <w:r w:rsidR="008130D5" w:rsidRPr="00323009">
              <w:rPr>
                <w:b/>
                <w:iCs/>
              </w:rPr>
              <w:t xml:space="preserve">cu impact direct asupra </w:t>
            </w:r>
            <w:r w:rsidR="004A67CB" w:rsidRPr="00323009">
              <w:rPr>
                <w:b/>
                <w:iCs/>
              </w:rPr>
              <w:t>îmbunătățirii</w:t>
            </w:r>
            <w:r w:rsidR="008130D5" w:rsidRPr="00323009">
              <w:rPr>
                <w:b/>
                <w:iCs/>
              </w:rPr>
              <w:t xml:space="preserve"> relațiilor contractuale privind ucenicia la locul de muncă</w:t>
            </w:r>
            <w:r w:rsidR="002E0EEA" w:rsidRPr="00323009">
              <w:rPr>
                <w:b/>
                <w:iCs/>
              </w:rPr>
              <w:t>, după cum urmează:</w:t>
            </w:r>
          </w:p>
          <w:p w:rsidR="008F47EE" w:rsidRPr="00323009" w:rsidRDefault="00014E4E" w:rsidP="002679A3">
            <w:pPr>
              <w:adjustRightInd w:val="0"/>
              <w:spacing w:line="276" w:lineRule="auto"/>
              <w:jc w:val="both"/>
            </w:pPr>
            <w:r w:rsidRPr="00323009">
              <w:t xml:space="preserve">- </w:t>
            </w:r>
            <w:r w:rsidR="009D20C3" w:rsidRPr="00323009">
              <w:t xml:space="preserve">salariatul sau, după caz, întreprinzătorul persoană fizică </w:t>
            </w:r>
            <w:r w:rsidR="00415D91" w:rsidRPr="00323009">
              <w:t>care are calitatea de coordonator de ucenicie</w:t>
            </w:r>
            <w:r w:rsidR="008F47EE" w:rsidRPr="00323009">
              <w:t xml:space="preserve"> </w:t>
            </w:r>
            <w:r w:rsidR="00415D91" w:rsidRPr="00323009">
              <w:t xml:space="preserve">trebuie să aibă </w:t>
            </w:r>
            <w:r w:rsidR="008F47EE" w:rsidRPr="00323009">
              <w:t>experienţă în activitatea sau în ocupaţia pentru care se organizează ucenicia de cel puţin 2 ani, în ultimii 5 ani</w:t>
            </w:r>
            <w:r w:rsidR="009D20C3" w:rsidRPr="00323009">
              <w:t>;</w:t>
            </w:r>
          </w:p>
          <w:p w:rsidR="009C1D25" w:rsidRPr="00323009" w:rsidRDefault="009D20C3" w:rsidP="002679A3">
            <w:pPr>
              <w:adjustRightInd w:val="0"/>
              <w:spacing w:line="276" w:lineRule="auto"/>
              <w:jc w:val="both"/>
            </w:pPr>
            <w:r w:rsidRPr="00323009">
              <w:t>- p</w:t>
            </w:r>
            <w:r w:rsidR="008F47EE" w:rsidRPr="00323009">
              <w:t>lanificarea</w:t>
            </w:r>
            <w:r w:rsidR="004A67CB" w:rsidRPr="00323009">
              <w:t xml:space="preserve"> orară a pregătirii </w:t>
            </w:r>
            <w:r w:rsidR="004F4DA0" w:rsidRPr="00323009">
              <w:t xml:space="preserve">teoretice și </w:t>
            </w:r>
            <w:r w:rsidR="004A67CB" w:rsidRPr="00323009">
              <w:t xml:space="preserve">practice a </w:t>
            </w:r>
            <w:r w:rsidR="008F47EE" w:rsidRPr="00323009">
              <w:t>uceni</w:t>
            </w:r>
            <w:r w:rsidR="00352700" w:rsidRPr="00323009">
              <w:t>cilor</w:t>
            </w:r>
            <w:r w:rsidR="00AC072A" w:rsidRPr="00323009">
              <w:t xml:space="preserve"> se stabilește de comun acord între </w:t>
            </w:r>
            <w:r w:rsidR="008F47EE" w:rsidRPr="00323009">
              <w:t>angajator și furnizorul de formare, în funcţie de program</w:t>
            </w:r>
            <w:r w:rsidR="00212FC0" w:rsidRPr="00323009">
              <w:t>ul de lucru al</w:t>
            </w:r>
            <w:r w:rsidR="004F01D3" w:rsidRPr="00323009">
              <w:t xml:space="preserve"> angajatorului, </w:t>
            </w:r>
            <w:r w:rsidR="008F47EE" w:rsidRPr="00323009">
              <w:t>cu respectarea particularităţilor  specifice ale  ucenicilor şi a reglementărilor legale referitoare la s</w:t>
            </w:r>
            <w:r w:rsidR="00FE23F1" w:rsidRPr="00323009">
              <w:t>ănătatea şi securitatea muncii;</w:t>
            </w:r>
          </w:p>
          <w:p w:rsidR="008F47EE" w:rsidRPr="00323009" w:rsidRDefault="009C1D25" w:rsidP="002679A3">
            <w:pPr>
              <w:adjustRightInd w:val="0"/>
              <w:spacing w:line="276" w:lineRule="auto"/>
              <w:jc w:val="both"/>
            </w:pPr>
            <w:r w:rsidRPr="00323009">
              <w:t xml:space="preserve">- </w:t>
            </w:r>
            <w:r w:rsidR="008D11C0" w:rsidRPr="00323009">
              <w:t>f</w:t>
            </w:r>
            <w:r w:rsidR="008F47EE" w:rsidRPr="00323009">
              <w:t xml:space="preserve">ormarea profesională prin ucenicie la locul </w:t>
            </w:r>
            <w:r w:rsidR="00B171FA" w:rsidRPr="00323009">
              <w:t>de muncă se organizează pe</w:t>
            </w:r>
            <w:r w:rsidR="008F47EE" w:rsidRPr="00323009">
              <w:t xml:space="preserve"> du</w:t>
            </w:r>
            <w:r w:rsidR="006807B3" w:rsidRPr="00323009">
              <w:t xml:space="preserve">rata contractului de ucenicie, </w:t>
            </w:r>
            <w:r w:rsidR="00B171FA" w:rsidRPr="00323009">
              <w:t xml:space="preserve">după încetarea perioadei de probă, </w:t>
            </w:r>
            <w:r w:rsidR="008F7993" w:rsidRPr="00323009">
              <w:t xml:space="preserve">conform planificării stabilite de comun acord între angajator și furnizorul de formare, în funcţie de programul de lucru al angajatorului, cu respectarea particularităţilor  specifice </w:t>
            </w:r>
            <w:r w:rsidR="0042496D" w:rsidRPr="00323009">
              <w:t xml:space="preserve"> </w:t>
            </w:r>
            <w:r w:rsidR="008F7993" w:rsidRPr="00323009">
              <w:t xml:space="preserve">ale  ucenicilor;  </w:t>
            </w:r>
          </w:p>
          <w:p w:rsidR="007C1214" w:rsidRPr="00323009" w:rsidRDefault="00212FC0" w:rsidP="002679A3">
            <w:pPr>
              <w:adjustRightInd w:val="0"/>
              <w:spacing w:line="276" w:lineRule="auto"/>
              <w:contextualSpacing/>
              <w:jc w:val="both"/>
            </w:pPr>
            <w:r w:rsidRPr="00323009">
              <w:t>- eliminarea</w:t>
            </w:r>
            <w:r w:rsidR="008D11C0" w:rsidRPr="00323009">
              <w:t xml:space="preserve"> </w:t>
            </w:r>
            <w:r w:rsidR="003F5A1F" w:rsidRPr="00323009">
              <w:t>contractului de formare profesională prevăzut la art. 1</w:t>
            </w:r>
            <w:r w:rsidR="00A94094" w:rsidRPr="00323009">
              <w:t>9</w:t>
            </w:r>
            <w:r w:rsidR="003F5A1F" w:rsidRPr="00323009">
              <w:t xml:space="preserve"> alin. (1) din Ordonanţa Guvernului nr. 129/2000, republicată, cu modificările şi completările ulterioare, </w:t>
            </w:r>
            <w:r w:rsidR="008D11C0" w:rsidRPr="00323009">
              <w:t xml:space="preserve">din documentația necesară </w:t>
            </w:r>
            <w:r w:rsidRPr="00323009">
              <w:t>încheierii</w:t>
            </w:r>
            <w:r w:rsidR="003F5A1F" w:rsidRPr="00323009">
              <w:t xml:space="preserve"> contractului de ucenicie</w:t>
            </w:r>
            <w:r w:rsidR="00BE4313" w:rsidRPr="00323009">
              <w:t xml:space="preserve">; în locul acestui document se propune o </w:t>
            </w:r>
            <w:r w:rsidR="004F01D3" w:rsidRPr="00323009">
              <w:t>d</w:t>
            </w:r>
            <w:r w:rsidR="008F47EE" w:rsidRPr="00323009">
              <w:t xml:space="preserve">eclarație pe propria răspundere </w:t>
            </w:r>
            <w:r w:rsidR="003F5A1F" w:rsidRPr="00323009">
              <w:t xml:space="preserve">dată de ucenic </w:t>
            </w:r>
            <w:r w:rsidR="008F47EE" w:rsidRPr="00323009">
              <w:t>din care să reiasă că</w:t>
            </w:r>
            <w:r w:rsidR="007C1214" w:rsidRPr="00323009">
              <w:t xml:space="preserve"> în ultimii doi ani nu i-a încetat un alt contract de ucenicie din motive imputabile lui, nu deține calificarea pentru care se organizează ucenicia la locul de muncă; </w:t>
            </w:r>
          </w:p>
          <w:p w:rsidR="00CE15A4" w:rsidRPr="00323009" w:rsidRDefault="00CE15A4" w:rsidP="002679A3">
            <w:pPr>
              <w:spacing w:line="276" w:lineRule="auto"/>
              <w:contextualSpacing/>
              <w:jc w:val="both"/>
            </w:pPr>
            <w:r w:rsidRPr="00323009">
              <w:t xml:space="preserve">- clarificări în cazul în care contractul de ucenicie nu încetează de drept în perioada suspendării: </w:t>
            </w:r>
            <w:r w:rsidR="00700148" w:rsidRPr="00323009">
              <w:t>în această situație,</w:t>
            </w:r>
            <w:r w:rsidRPr="00323009">
              <w:t xml:space="preserve"> prin acordul părților, contractul de ucenicie poate fi prelungit conform art.82 alin.(3) coroborat cu art.83 litera h)</w:t>
            </w:r>
            <w:r w:rsidR="001940CA" w:rsidRPr="00323009">
              <w:t xml:space="preserve"> din Codul muncii</w:t>
            </w:r>
            <w:r w:rsidRPr="00323009">
              <w:t>, în vederea finalizării prog</w:t>
            </w:r>
            <w:r w:rsidR="003058D0" w:rsidRPr="00323009">
              <w:t xml:space="preserve">ramului de formare </w:t>
            </w:r>
            <w:r w:rsidR="003058D0" w:rsidRPr="00323009">
              <w:lastRenderedPageBreak/>
              <w:t>profesională;</w:t>
            </w:r>
          </w:p>
          <w:p w:rsidR="008F47EE" w:rsidRPr="00323009" w:rsidRDefault="005335A7" w:rsidP="002679A3">
            <w:pPr>
              <w:adjustRightInd w:val="0"/>
              <w:spacing w:line="276" w:lineRule="auto"/>
              <w:contextualSpacing/>
              <w:jc w:val="both"/>
            </w:pPr>
            <w:r w:rsidRPr="00323009">
              <w:t xml:space="preserve"> </w:t>
            </w:r>
            <w:r w:rsidR="00137B1C" w:rsidRPr="00323009">
              <w:t xml:space="preserve">- clarificări privind obligațiile furnizorului de formare profesională </w:t>
            </w:r>
            <w:r w:rsidR="007464F6" w:rsidRPr="00323009">
              <w:t xml:space="preserve">în cazul în care </w:t>
            </w:r>
            <w:r w:rsidR="008F47EE" w:rsidRPr="00323009">
              <w:t xml:space="preserve">contractul de </w:t>
            </w:r>
            <w:r w:rsidR="002E7D77" w:rsidRPr="00323009">
              <w:t>ucenicie încetează de drept în</w:t>
            </w:r>
            <w:r w:rsidR="008F47EE" w:rsidRPr="00323009">
              <w:t xml:space="preserve"> condițiile art.</w:t>
            </w:r>
            <w:r w:rsidR="00901944" w:rsidRPr="00323009">
              <w:t xml:space="preserve"> 49</w:t>
            </w:r>
            <w:r w:rsidR="002E7D77" w:rsidRPr="00323009">
              <w:t>, alin.(5) din Codul muncii -</w:t>
            </w:r>
            <w:r w:rsidR="007464F6" w:rsidRPr="00323009">
              <w:t xml:space="preserve"> în această situație </w:t>
            </w:r>
            <w:r w:rsidR="008F47EE" w:rsidRPr="00323009">
              <w:t>fur</w:t>
            </w:r>
            <w:r w:rsidR="007464F6" w:rsidRPr="00323009">
              <w:t>nizorul de formare profesională</w:t>
            </w:r>
            <w:r w:rsidR="008F47EE" w:rsidRPr="00323009">
              <w:t xml:space="preserve"> eliberează o adeverință din care să reiasă numărul orelor de pregătire teoretică si practică  efectuate de ucenic în c</w:t>
            </w:r>
            <w:r w:rsidR="00DF06BE" w:rsidRPr="00323009">
              <w:t>adrul programului de ucenicie;</w:t>
            </w:r>
          </w:p>
          <w:p w:rsidR="00C80EED" w:rsidRPr="00323009" w:rsidRDefault="00FB6C91" w:rsidP="002679A3">
            <w:pPr>
              <w:spacing w:line="276" w:lineRule="auto"/>
              <w:contextualSpacing/>
              <w:jc w:val="both"/>
            </w:pPr>
            <w:r w:rsidRPr="00323009">
              <w:t>- clarificăr</w:t>
            </w:r>
            <w:r w:rsidR="006213E9" w:rsidRPr="00323009">
              <w:t xml:space="preserve">i privind drepturile </w:t>
            </w:r>
            <w:r w:rsidR="00B110DD" w:rsidRPr="00323009">
              <w:t>persoanei</w:t>
            </w:r>
            <w:r w:rsidR="008F47EE" w:rsidRPr="00323009">
              <w:t xml:space="preserve"> </w:t>
            </w:r>
            <w:r w:rsidR="006C2B83" w:rsidRPr="00323009">
              <w:t xml:space="preserve">al cărui </w:t>
            </w:r>
            <w:r w:rsidR="00DF06BE" w:rsidRPr="00323009">
              <w:t>contract</w:t>
            </w:r>
            <w:r w:rsidR="00B110DD" w:rsidRPr="00323009">
              <w:t xml:space="preserve"> de ucenicie încetează de drept în perioada de suspendare</w:t>
            </w:r>
            <w:r w:rsidR="002E7D77" w:rsidRPr="00323009">
              <w:t xml:space="preserve"> </w:t>
            </w:r>
            <w:r w:rsidR="00786863" w:rsidRPr="00323009">
              <w:t xml:space="preserve">și </w:t>
            </w:r>
            <w:r w:rsidR="00F22420" w:rsidRPr="00323009">
              <w:t>care</w:t>
            </w:r>
            <w:r w:rsidR="000B60CD" w:rsidRPr="00323009">
              <w:t>, în baza</w:t>
            </w:r>
            <w:r w:rsidR="00B0342D" w:rsidRPr="00323009">
              <w:t xml:space="preserve"> </w:t>
            </w:r>
            <w:r w:rsidR="00DF06BE" w:rsidRPr="00323009">
              <w:t>adeverinț</w:t>
            </w:r>
            <w:r w:rsidR="000B60CD" w:rsidRPr="00323009">
              <w:t>ei eliberate de furnizorul de formare</w:t>
            </w:r>
            <w:r w:rsidR="00DF06BE" w:rsidRPr="00323009">
              <w:t xml:space="preserve"> </w:t>
            </w:r>
            <w:r w:rsidR="00F22420" w:rsidRPr="00323009">
              <w:t>se</w:t>
            </w:r>
            <w:r w:rsidR="00FE530A" w:rsidRPr="00323009">
              <w:t xml:space="preserve"> </w:t>
            </w:r>
            <w:r w:rsidR="000B60CD" w:rsidRPr="00323009">
              <w:t xml:space="preserve">poate </w:t>
            </w:r>
            <w:r w:rsidR="00FE530A" w:rsidRPr="00323009">
              <w:t>înregistra</w:t>
            </w:r>
            <w:r w:rsidR="008F47EE" w:rsidRPr="00323009">
              <w:t xml:space="preserve"> la agenţia pentru ocuparea forţei de muncă judeţeană, respectiv a municipiului Bucureşti ca persoană aflată în căutarea unui loc de muncă, unde i se asigură</w:t>
            </w:r>
            <w:r w:rsidR="00C80EED" w:rsidRPr="00323009">
              <w:t xml:space="preserve"> servicii specializate pentru valorificarea</w:t>
            </w:r>
            <w:r w:rsidR="00952C89" w:rsidRPr="00323009">
              <w:t xml:space="preserve"> orelor de pregătire teoretică ș</w:t>
            </w:r>
            <w:r w:rsidR="00C80EED" w:rsidRPr="00323009">
              <w:t>i practică efect</w:t>
            </w:r>
            <w:r w:rsidR="00270B4B" w:rsidRPr="00323009">
              <w:t>uate;</w:t>
            </w:r>
          </w:p>
          <w:p w:rsidR="008F47EE" w:rsidRPr="00323009" w:rsidRDefault="00C16680" w:rsidP="002679A3">
            <w:pPr>
              <w:adjustRightInd w:val="0"/>
              <w:spacing w:line="276" w:lineRule="auto"/>
              <w:contextualSpacing/>
              <w:jc w:val="both"/>
            </w:pPr>
            <w:r w:rsidRPr="00323009">
              <w:t xml:space="preserve">- </w:t>
            </w:r>
            <w:r w:rsidR="00624B62" w:rsidRPr="00323009">
              <w:t xml:space="preserve">clarificări privind </w:t>
            </w:r>
            <w:r w:rsidR="008F47EE" w:rsidRPr="00323009">
              <w:t xml:space="preserve">finanțarea </w:t>
            </w:r>
            <w:r w:rsidR="00143D6E" w:rsidRPr="00323009">
              <w:t xml:space="preserve">din bugetul asigurărilor pentru şomaj </w:t>
            </w:r>
            <w:r w:rsidR="00624B62" w:rsidRPr="00323009">
              <w:t xml:space="preserve">pe perioada </w:t>
            </w:r>
            <w:r w:rsidR="008F47EE" w:rsidRPr="00323009">
              <w:t>suspen</w:t>
            </w:r>
            <w:r w:rsidR="00143D6E" w:rsidRPr="00323009">
              <w:t>dării contractului de ucenicie</w:t>
            </w:r>
            <w:r w:rsidR="00F22420" w:rsidRPr="00323009">
              <w:t xml:space="preserve"> </w:t>
            </w:r>
            <w:r w:rsidR="00624B62" w:rsidRPr="00323009">
              <w:t xml:space="preserve"> - </w:t>
            </w:r>
            <w:r w:rsidR="008F47EE" w:rsidRPr="00323009">
              <w:t xml:space="preserve"> </w:t>
            </w:r>
            <w:r w:rsidR="00426349" w:rsidRPr="00323009">
              <w:t>finanțarea nu se acordă pe perioada</w:t>
            </w:r>
            <w:r w:rsidR="00624B62" w:rsidRPr="00323009">
              <w:t xml:space="preserve"> suspendării </w:t>
            </w:r>
            <w:r w:rsidR="00F22420" w:rsidRPr="00323009">
              <w:t>contractului</w:t>
            </w:r>
            <w:r w:rsidR="00624B62" w:rsidRPr="00323009">
              <w:t xml:space="preserve"> de ucenicie;</w:t>
            </w:r>
          </w:p>
          <w:p w:rsidR="004E50B5" w:rsidRPr="00323009" w:rsidRDefault="00C16680" w:rsidP="002679A3">
            <w:pPr>
              <w:adjustRightInd w:val="0"/>
              <w:spacing w:line="276" w:lineRule="auto"/>
              <w:contextualSpacing/>
              <w:jc w:val="both"/>
            </w:pPr>
            <w:r w:rsidRPr="00323009">
              <w:t xml:space="preserve">- clarificări privind </w:t>
            </w:r>
            <w:r w:rsidR="00511DAA" w:rsidRPr="00323009">
              <w:t>p</w:t>
            </w:r>
            <w:r w:rsidR="008F47EE" w:rsidRPr="00323009">
              <w:t>erioada de probă</w:t>
            </w:r>
            <w:r w:rsidR="00D62559" w:rsidRPr="00323009">
              <w:t>:</w:t>
            </w:r>
            <w:r w:rsidR="00223535" w:rsidRPr="00323009">
              <w:t xml:space="preserve"> p</w:t>
            </w:r>
            <w:r w:rsidR="008F47EE" w:rsidRPr="00323009">
              <w:t>erioada de probă nu poate depăşi 30 de zile lucrătoare</w:t>
            </w:r>
            <w:r w:rsidR="00223535" w:rsidRPr="00323009">
              <w:t xml:space="preserve">; </w:t>
            </w:r>
            <w:r w:rsidR="00223535" w:rsidRPr="00323009">
              <w:rPr>
                <w:lang w:eastAsia="ja-JP"/>
              </w:rPr>
              <w:t>p</w:t>
            </w:r>
            <w:r w:rsidR="008F47EE" w:rsidRPr="00323009">
              <w:rPr>
                <w:lang w:eastAsia="ja-JP"/>
              </w:rPr>
              <w:t>ersoana selectată în vederea angajării ca ucenic este informată de angajator cu privire la durata perioadei de probă</w:t>
            </w:r>
            <w:r w:rsidR="00223535" w:rsidRPr="00323009">
              <w:rPr>
                <w:lang w:eastAsia="ja-JP"/>
              </w:rPr>
              <w:t>;</w:t>
            </w:r>
            <w:r w:rsidR="00223535" w:rsidRPr="00323009">
              <w:t xml:space="preserve"> p</w:t>
            </w:r>
            <w:r w:rsidR="008F47EE" w:rsidRPr="00323009">
              <w:t xml:space="preserve">rogramul de formare profesională începe </w:t>
            </w:r>
            <w:r w:rsidR="00D62559" w:rsidRPr="00323009">
              <w:t xml:space="preserve">numai </w:t>
            </w:r>
            <w:r w:rsidR="008F47EE" w:rsidRPr="00323009">
              <w:t>după încetarea perioadei de prob</w:t>
            </w:r>
            <w:r w:rsidR="00223535" w:rsidRPr="00323009">
              <w:t xml:space="preserve">ă; angajatorul </w:t>
            </w:r>
            <w:r w:rsidR="00D62559" w:rsidRPr="00323009">
              <w:t>încheie</w:t>
            </w:r>
            <w:r w:rsidR="00510755" w:rsidRPr="00323009">
              <w:t xml:space="preserve"> c</w:t>
            </w:r>
            <w:r w:rsidR="008F47EE" w:rsidRPr="00323009">
              <w:t>ontractul de prestări servicii de formare profesională</w:t>
            </w:r>
            <w:r w:rsidR="00510755" w:rsidRPr="00323009">
              <w:t xml:space="preserve"> cu furnizorul de formare </w:t>
            </w:r>
            <w:r w:rsidR="008F47EE" w:rsidRPr="00323009">
              <w:t xml:space="preserve">după </w:t>
            </w:r>
            <w:r w:rsidR="00510755" w:rsidRPr="00323009">
              <w:t>finalizarea perioadei de probă;</w:t>
            </w:r>
          </w:p>
          <w:p w:rsidR="00FF2B34" w:rsidRPr="00323009" w:rsidRDefault="004E50B5" w:rsidP="002679A3">
            <w:pPr>
              <w:adjustRightInd w:val="0"/>
              <w:snapToGrid w:val="0"/>
              <w:spacing w:line="276" w:lineRule="auto"/>
              <w:jc w:val="both"/>
            </w:pPr>
            <w:r w:rsidRPr="00323009">
              <w:t xml:space="preserve">- </w:t>
            </w:r>
            <w:r w:rsidR="00510755" w:rsidRPr="00323009">
              <w:t>creșterea duratei</w:t>
            </w:r>
            <w:r w:rsidRPr="00323009">
              <w:t>,</w:t>
            </w:r>
            <w:r w:rsidR="00510755" w:rsidRPr="00323009">
              <w:t xml:space="preserve"> </w:t>
            </w:r>
            <w:r w:rsidR="00B738A2" w:rsidRPr="00323009">
              <w:t>de la 30 de zile la 60 de zile</w:t>
            </w:r>
            <w:r w:rsidR="00B72825" w:rsidRPr="00323009">
              <w:t xml:space="preserve"> lucrătoare</w:t>
            </w:r>
            <w:r w:rsidRPr="00323009">
              <w:t>,</w:t>
            </w:r>
            <w:r w:rsidR="00B738A2" w:rsidRPr="00323009">
              <w:t xml:space="preserve"> </w:t>
            </w:r>
            <w:r w:rsidR="00624B62" w:rsidRPr="00323009">
              <w:t>î</w:t>
            </w:r>
            <w:r w:rsidR="00DC6679" w:rsidRPr="00323009">
              <w:t xml:space="preserve">n care angajatorul, </w:t>
            </w:r>
            <w:r w:rsidR="00DC6679" w:rsidRPr="00323009">
              <w:rPr>
                <w:lang w:eastAsia="en-GB"/>
              </w:rPr>
              <w:t>după  expirarea perioadei de probă</w:t>
            </w:r>
            <w:r w:rsidR="00DC6679" w:rsidRPr="00323009">
              <w:t xml:space="preserve">, </w:t>
            </w:r>
            <w:r w:rsidR="00F50260" w:rsidRPr="00323009">
              <w:t>poate</w:t>
            </w:r>
            <w:r w:rsidR="00DC6679" w:rsidRPr="00323009">
              <w:t xml:space="preserve"> </w:t>
            </w:r>
            <w:r w:rsidR="00F50260" w:rsidRPr="00323009">
              <w:rPr>
                <w:lang w:eastAsia="en-GB"/>
              </w:rPr>
              <w:t>încheia cu agenţia pentru ocuparea forţei de muncă judeţeană, respectiv a municipiului Bucureşti, conve</w:t>
            </w:r>
            <w:r w:rsidR="00BC140B" w:rsidRPr="00323009">
              <w:rPr>
                <w:lang w:eastAsia="en-GB"/>
              </w:rPr>
              <w:t xml:space="preserve">nţia </w:t>
            </w:r>
            <w:r w:rsidR="00FE6289" w:rsidRPr="00323009">
              <w:rPr>
                <w:lang w:eastAsia="en-GB"/>
              </w:rPr>
              <w:t>în baza căreia  poate</w:t>
            </w:r>
            <w:r w:rsidR="00BC140B" w:rsidRPr="00323009">
              <w:rPr>
                <w:lang w:eastAsia="en-GB"/>
              </w:rPr>
              <w:t xml:space="preserve"> beneficia</w:t>
            </w:r>
            <w:r w:rsidR="00F50260" w:rsidRPr="00323009">
              <w:rPr>
                <w:lang w:eastAsia="en-GB"/>
              </w:rPr>
              <w:t xml:space="preserve"> de sumele alocate din bugetul asigurărilor pentru şomaj, pentru </w:t>
            </w:r>
            <w:r w:rsidR="00BC140B" w:rsidRPr="00323009">
              <w:rPr>
                <w:lang w:eastAsia="en-GB"/>
              </w:rPr>
              <w:t xml:space="preserve"> un </w:t>
            </w:r>
            <w:r w:rsidR="00F50260" w:rsidRPr="00323009">
              <w:rPr>
                <w:lang w:eastAsia="en-GB"/>
              </w:rPr>
              <w:t xml:space="preserve"> contract de ucenicie</w:t>
            </w:r>
            <w:r w:rsidR="00FE6289" w:rsidRPr="00323009">
              <w:rPr>
                <w:lang w:eastAsia="en-GB"/>
              </w:rPr>
              <w: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BB3B52" w:rsidRPr="00323009" w:rsidRDefault="002E04B8" w:rsidP="002679A3">
            <w:pPr>
              <w:pStyle w:val="ListParagraph"/>
              <w:numPr>
                <w:ilvl w:val="0"/>
                <w:numId w:val="7"/>
              </w:numPr>
              <w:adjustRightInd w:val="0"/>
              <w:snapToGrid w:val="0"/>
              <w:ind w:left="284" w:hanging="284"/>
              <w:jc w:val="both"/>
              <w:rPr>
                <w:rFonts w:ascii="Times New Roman" w:hAnsi="Times New Roman"/>
                <w:sz w:val="24"/>
                <w:szCs w:val="24"/>
              </w:rPr>
            </w:pPr>
            <w:proofErr w:type="spellStart"/>
            <w:r w:rsidRPr="00323009">
              <w:rPr>
                <w:rFonts w:ascii="Times New Roman" w:hAnsi="Times New Roman"/>
                <w:b/>
                <w:sz w:val="24"/>
                <w:szCs w:val="24"/>
              </w:rPr>
              <w:lastRenderedPageBreak/>
              <w:t>Alte</w:t>
            </w:r>
            <w:proofErr w:type="spellEnd"/>
            <w:r w:rsidRPr="00323009">
              <w:rPr>
                <w:rFonts w:ascii="Times New Roman" w:hAnsi="Times New Roman"/>
                <w:b/>
                <w:sz w:val="24"/>
                <w:szCs w:val="24"/>
              </w:rPr>
              <w:t xml:space="preserve"> </w:t>
            </w:r>
            <w:proofErr w:type="spellStart"/>
            <w:r w:rsidRPr="00323009">
              <w:rPr>
                <w:rFonts w:ascii="Times New Roman" w:hAnsi="Times New Roman"/>
                <w:b/>
                <w:sz w:val="24"/>
                <w:szCs w:val="24"/>
              </w:rPr>
              <w:t>informaţii</w:t>
            </w:r>
            <w:proofErr w:type="spellEnd"/>
            <w:r w:rsidR="0091026F" w:rsidRPr="00323009">
              <w:rPr>
                <w:rFonts w:ascii="Times New Roman" w:hAnsi="Times New Roman"/>
                <w:b/>
                <w:sz w:val="24"/>
                <w:szCs w:val="24"/>
              </w:rPr>
              <w:t>.</w:t>
            </w:r>
            <w:r w:rsidR="0091026F" w:rsidRPr="00323009">
              <w:rPr>
                <w:rFonts w:ascii="Times New Roman" w:hAnsi="Times New Roman"/>
                <w:sz w:val="24"/>
                <w:szCs w:val="24"/>
              </w:rPr>
              <w:t xml:space="preserve"> </w:t>
            </w:r>
          </w:p>
          <w:p w:rsidR="00A81C99" w:rsidRPr="00323009" w:rsidRDefault="006F1214" w:rsidP="002679A3">
            <w:pPr>
              <w:pStyle w:val="ListParagraph"/>
              <w:adjustRightInd w:val="0"/>
              <w:snapToGrid w:val="0"/>
              <w:ind w:left="284"/>
              <w:jc w:val="both"/>
              <w:rPr>
                <w:rFonts w:ascii="Times New Roman" w:hAnsi="Times New Roman"/>
                <w:sz w:val="24"/>
                <w:szCs w:val="24"/>
              </w:rPr>
            </w:pPr>
            <w:r w:rsidRPr="00323009">
              <w:rPr>
                <w:rFonts w:ascii="Times New Roman" w:hAnsi="Times New Roman"/>
                <w:sz w:val="24"/>
                <w:szCs w:val="24"/>
              </w:rPr>
              <w:t xml:space="preserve">Nu </w:t>
            </w:r>
            <w:proofErr w:type="spellStart"/>
            <w:r w:rsidRPr="00323009">
              <w:rPr>
                <w:rFonts w:ascii="Times New Roman" w:hAnsi="Times New Roman"/>
                <w:sz w:val="24"/>
                <w:szCs w:val="24"/>
              </w:rPr>
              <w:t>este</w:t>
            </w:r>
            <w:proofErr w:type="spellEnd"/>
            <w:r w:rsidRPr="00323009">
              <w:rPr>
                <w:rFonts w:ascii="Times New Roman" w:hAnsi="Times New Roman"/>
                <w:sz w:val="24"/>
                <w:szCs w:val="24"/>
              </w:rPr>
              <w:t xml:space="preserve"> </w:t>
            </w:r>
            <w:proofErr w:type="spellStart"/>
            <w:r w:rsidRPr="00323009">
              <w:rPr>
                <w:rFonts w:ascii="Times New Roman" w:hAnsi="Times New Roman"/>
                <w:sz w:val="24"/>
                <w:szCs w:val="24"/>
              </w:rPr>
              <w:t>cazul</w:t>
            </w:r>
            <w:proofErr w:type="spellEnd"/>
            <w:r w:rsidRPr="00323009">
              <w:rPr>
                <w:rFonts w:ascii="Times New Roman" w:hAnsi="Times New Roman"/>
                <w:sz w:val="24"/>
                <w:szCs w:val="24"/>
              </w:rPr>
              <w: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2E04B8" w:rsidP="002679A3">
            <w:pPr>
              <w:adjustRightInd w:val="0"/>
              <w:snapToGrid w:val="0"/>
              <w:spacing w:line="276" w:lineRule="auto"/>
              <w:jc w:val="center"/>
              <w:rPr>
                <w:b/>
              </w:rPr>
            </w:pPr>
            <w:r w:rsidRPr="00323009">
              <w:rPr>
                <w:b/>
              </w:rPr>
              <w:t>Secţiunea a 3-a</w:t>
            </w:r>
          </w:p>
          <w:p w:rsidR="0044539D" w:rsidRPr="00323009" w:rsidRDefault="00C96CFF" w:rsidP="002679A3">
            <w:pPr>
              <w:adjustRightInd w:val="0"/>
              <w:snapToGrid w:val="0"/>
              <w:spacing w:line="276" w:lineRule="auto"/>
              <w:jc w:val="center"/>
              <w:rPr>
                <w:b/>
                <w:lang w:eastAsia="en-US"/>
              </w:rPr>
            </w:pPr>
            <w:r w:rsidRPr="00323009">
              <w:rPr>
                <w:b/>
              </w:rPr>
              <w:t>Impactul socio</w:t>
            </w:r>
            <w:r w:rsidR="002E04B8" w:rsidRPr="00323009">
              <w:rPr>
                <w:b/>
              </w:rPr>
              <w:t>economic al proiectului de act normativ</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9C3DF5" w:rsidRPr="00323009" w:rsidRDefault="002E04B8" w:rsidP="002679A3">
            <w:pPr>
              <w:adjustRightInd w:val="0"/>
              <w:snapToGrid w:val="0"/>
              <w:spacing w:line="276" w:lineRule="auto"/>
              <w:jc w:val="both"/>
              <w:rPr>
                <w:b/>
                <w:bCs/>
              </w:rPr>
            </w:pPr>
            <w:r w:rsidRPr="00323009">
              <w:rPr>
                <w:b/>
                <w:bCs/>
              </w:rPr>
              <w:t>1. Impact</w:t>
            </w:r>
            <w:r w:rsidR="00C96CFF" w:rsidRPr="00323009">
              <w:rPr>
                <w:b/>
                <w:bCs/>
              </w:rPr>
              <w:t>ul</w:t>
            </w:r>
            <w:r w:rsidRPr="00323009">
              <w:rPr>
                <w:b/>
                <w:bCs/>
              </w:rPr>
              <w:t xml:space="preserve"> macroeconomic</w:t>
            </w:r>
          </w:p>
          <w:p w:rsidR="001779C4" w:rsidRPr="00323009" w:rsidRDefault="00566DB3" w:rsidP="002679A3">
            <w:pPr>
              <w:adjustRightInd w:val="0"/>
              <w:snapToGrid w:val="0"/>
              <w:spacing w:line="276" w:lineRule="auto"/>
              <w:jc w:val="both"/>
            </w:pPr>
            <w:r w:rsidRPr="00323009">
              <w:t>Crearea unui sistem</w:t>
            </w:r>
            <w:r w:rsidR="00FC2CF6" w:rsidRPr="00323009">
              <w:t xml:space="preserve"> </w:t>
            </w:r>
            <w:r w:rsidR="001779C4" w:rsidRPr="00323009">
              <w:t xml:space="preserve">de ucenicie </w:t>
            </w:r>
            <w:r w:rsidR="00B46CB0" w:rsidRPr="00323009">
              <w:t xml:space="preserve">funcțional are calitatea de a </w:t>
            </w:r>
            <w:r w:rsidR="001779C4" w:rsidRPr="00323009">
              <w:t>spori capacitatea de inserție profesională și dezvoltarea personală a ucenicilor și de a contribui la dezvoltarea unei forțe de muncă cu un nivel ridicat de competențe și calificări, adaptate la nevoile pieței muncii.</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AF477F" w:rsidP="002679A3">
            <w:pPr>
              <w:adjustRightInd w:val="0"/>
              <w:snapToGrid w:val="0"/>
              <w:spacing w:line="276" w:lineRule="auto"/>
              <w:jc w:val="both"/>
              <w:rPr>
                <w:b/>
                <w:bCs/>
              </w:rPr>
            </w:pPr>
          </w:p>
          <w:p w:rsidR="00C96CFF" w:rsidRPr="00323009" w:rsidRDefault="00C96CFF" w:rsidP="002679A3">
            <w:pPr>
              <w:adjustRightInd w:val="0"/>
              <w:snapToGrid w:val="0"/>
              <w:spacing w:line="276" w:lineRule="auto"/>
              <w:jc w:val="both"/>
              <w:rPr>
                <w:b/>
                <w:bCs/>
              </w:rPr>
            </w:pPr>
            <w:r w:rsidRPr="00323009">
              <w:rPr>
                <w:b/>
                <w:bCs/>
              </w:rPr>
              <w:t>1</w:t>
            </w:r>
            <w:r w:rsidRPr="00323009">
              <w:rPr>
                <w:b/>
                <w:bCs/>
                <w:vertAlign w:val="superscript"/>
              </w:rPr>
              <w:t>1</w:t>
            </w:r>
            <w:r w:rsidRPr="00323009">
              <w:rPr>
                <w:b/>
                <w:bCs/>
              </w:rPr>
              <w:t xml:space="preserve"> Impactul asupra mediului concurenţial şi domeniului ajutoarelor de stat</w:t>
            </w:r>
          </w:p>
          <w:p w:rsidR="00C96CFF" w:rsidRPr="00323009" w:rsidRDefault="00C96CFF" w:rsidP="002679A3">
            <w:pPr>
              <w:adjustRightInd w:val="0"/>
              <w:snapToGrid w:val="0"/>
              <w:spacing w:line="276" w:lineRule="auto"/>
              <w:jc w:val="both"/>
              <w:rPr>
                <w:bCs/>
              </w:rPr>
            </w:pPr>
            <w:r w:rsidRPr="00323009">
              <w:rPr>
                <w:bCs/>
              </w:rPr>
              <w:t>Nu e cazul</w:t>
            </w:r>
            <w:r w:rsidR="00B573B5" w:rsidRPr="00323009">
              <w:rPr>
                <w:bCs/>
              </w:rPr>
              <w: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AF477F" w:rsidP="002679A3">
            <w:pPr>
              <w:adjustRightInd w:val="0"/>
              <w:snapToGrid w:val="0"/>
              <w:spacing w:line="276" w:lineRule="auto"/>
              <w:jc w:val="both"/>
              <w:rPr>
                <w:b/>
                <w:bCs/>
              </w:rPr>
            </w:pPr>
          </w:p>
          <w:p w:rsidR="000816D1" w:rsidRPr="00323009" w:rsidRDefault="002E04B8" w:rsidP="002679A3">
            <w:pPr>
              <w:adjustRightInd w:val="0"/>
              <w:snapToGrid w:val="0"/>
              <w:spacing w:line="276" w:lineRule="auto"/>
              <w:jc w:val="both"/>
              <w:rPr>
                <w:b/>
                <w:bCs/>
              </w:rPr>
            </w:pPr>
            <w:r w:rsidRPr="00323009">
              <w:rPr>
                <w:b/>
                <w:bCs/>
              </w:rPr>
              <w:t>2. Impact</w:t>
            </w:r>
            <w:r w:rsidR="00C96CFF" w:rsidRPr="00323009">
              <w:rPr>
                <w:b/>
                <w:bCs/>
              </w:rPr>
              <w:t>ul</w:t>
            </w:r>
            <w:r w:rsidRPr="00323009">
              <w:rPr>
                <w:b/>
                <w:bCs/>
              </w:rPr>
              <w:t xml:space="preserve"> asupra mediului de afaceri</w:t>
            </w:r>
          </w:p>
          <w:p w:rsidR="001D7640" w:rsidRPr="00323009" w:rsidRDefault="005F5EC1" w:rsidP="002679A3">
            <w:pPr>
              <w:adjustRightInd w:val="0"/>
              <w:snapToGrid w:val="0"/>
              <w:spacing w:line="276" w:lineRule="auto"/>
              <w:jc w:val="both"/>
              <w:rPr>
                <w:b/>
                <w:bCs/>
              </w:rPr>
            </w:pPr>
            <w:r w:rsidRPr="00323009">
              <w:rPr>
                <w:bCs/>
              </w:rPr>
              <w:t>Nu e cazul.</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AF477F" w:rsidP="002679A3">
            <w:pPr>
              <w:adjustRightInd w:val="0"/>
              <w:snapToGrid w:val="0"/>
              <w:spacing w:line="276" w:lineRule="auto"/>
              <w:jc w:val="both"/>
              <w:rPr>
                <w:b/>
                <w:bCs/>
              </w:rPr>
            </w:pPr>
          </w:p>
          <w:p w:rsidR="00C067DE" w:rsidRPr="00323009" w:rsidRDefault="00C067DE" w:rsidP="002679A3">
            <w:pPr>
              <w:adjustRightInd w:val="0"/>
              <w:snapToGrid w:val="0"/>
              <w:spacing w:line="276" w:lineRule="auto"/>
              <w:jc w:val="both"/>
              <w:rPr>
                <w:b/>
                <w:bCs/>
              </w:rPr>
            </w:pPr>
            <w:r w:rsidRPr="00323009">
              <w:rPr>
                <w:b/>
                <w:bCs/>
              </w:rPr>
              <w:t>2</w:t>
            </w:r>
            <w:r w:rsidRPr="00323009">
              <w:rPr>
                <w:b/>
                <w:bCs/>
                <w:vertAlign w:val="superscript"/>
              </w:rPr>
              <w:t>1</w:t>
            </w:r>
            <w:r w:rsidRPr="00323009">
              <w:rPr>
                <w:b/>
                <w:bCs/>
              </w:rPr>
              <w:t>. Impact asupra sarcinilor administrative</w:t>
            </w:r>
          </w:p>
          <w:p w:rsidR="00987645" w:rsidRPr="00323009" w:rsidRDefault="002D1D28" w:rsidP="002679A3">
            <w:pPr>
              <w:adjustRightInd w:val="0"/>
              <w:spacing w:line="276" w:lineRule="auto"/>
              <w:contextualSpacing/>
              <w:jc w:val="both"/>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AF477F" w:rsidP="002679A3">
            <w:pPr>
              <w:adjustRightInd w:val="0"/>
              <w:snapToGrid w:val="0"/>
              <w:spacing w:line="276" w:lineRule="auto"/>
              <w:jc w:val="both"/>
              <w:rPr>
                <w:b/>
                <w:bCs/>
              </w:rPr>
            </w:pPr>
          </w:p>
          <w:p w:rsidR="00C067DE" w:rsidRPr="00323009" w:rsidRDefault="00C067DE" w:rsidP="002679A3">
            <w:pPr>
              <w:adjustRightInd w:val="0"/>
              <w:snapToGrid w:val="0"/>
              <w:spacing w:line="276" w:lineRule="auto"/>
              <w:jc w:val="both"/>
              <w:rPr>
                <w:b/>
                <w:bCs/>
              </w:rPr>
            </w:pPr>
            <w:r w:rsidRPr="00323009">
              <w:rPr>
                <w:b/>
                <w:bCs/>
              </w:rPr>
              <w:t>2</w:t>
            </w:r>
            <w:r w:rsidRPr="00323009">
              <w:rPr>
                <w:b/>
                <w:bCs/>
                <w:vertAlign w:val="superscript"/>
              </w:rPr>
              <w:t>2</w:t>
            </w:r>
            <w:r w:rsidRPr="00323009">
              <w:rPr>
                <w:b/>
                <w:bCs/>
              </w:rPr>
              <w:t>. Impact asupra întreprinderilor mici şi mijlocii</w:t>
            </w:r>
          </w:p>
          <w:p w:rsidR="00C067DE" w:rsidRPr="00323009" w:rsidRDefault="00C067DE" w:rsidP="002679A3">
            <w:pPr>
              <w:adjustRightInd w:val="0"/>
              <w:snapToGrid w:val="0"/>
              <w:spacing w:line="276" w:lineRule="auto"/>
              <w:jc w:val="both"/>
              <w:rPr>
                <w:b/>
                <w:bCs/>
              </w:rPr>
            </w:pPr>
            <w:r w:rsidRPr="00323009">
              <w:t>Actul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AF477F" w:rsidP="002679A3">
            <w:pPr>
              <w:adjustRightInd w:val="0"/>
              <w:snapToGrid w:val="0"/>
              <w:spacing w:line="276" w:lineRule="auto"/>
              <w:jc w:val="both"/>
              <w:rPr>
                <w:b/>
                <w:bCs/>
              </w:rPr>
            </w:pPr>
          </w:p>
          <w:p w:rsidR="00BB3C00" w:rsidRPr="00323009" w:rsidRDefault="002E04B8" w:rsidP="002679A3">
            <w:pPr>
              <w:adjustRightInd w:val="0"/>
              <w:snapToGrid w:val="0"/>
              <w:spacing w:line="276" w:lineRule="auto"/>
              <w:jc w:val="both"/>
              <w:rPr>
                <w:b/>
                <w:bCs/>
              </w:rPr>
            </w:pPr>
            <w:r w:rsidRPr="00323009">
              <w:rPr>
                <w:b/>
                <w:bCs/>
              </w:rPr>
              <w:t>3. Impact</w:t>
            </w:r>
            <w:r w:rsidR="00C96CFF" w:rsidRPr="00323009">
              <w:rPr>
                <w:b/>
                <w:bCs/>
              </w:rPr>
              <w:t>ul</w:t>
            </w:r>
            <w:r w:rsidRPr="00323009">
              <w:rPr>
                <w:b/>
                <w:bCs/>
              </w:rPr>
              <w:t xml:space="preserve"> social</w:t>
            </w:r>
            <w:r w:rsidR="00CD44BB" w:rsidRPr="00323009">
              <w:rPr>
                <w:b/>
                <w:bCs/>
              </w:rPr>
              <w:t xml:space="preserve"> </w:t>
            </w:r>
          </w:p>
          <w:p w:rsidR="00931B53" w:rsidRPr="00323009" w:rsidRDefault="00931B53" w:rsidP="002679A3">
            <w:pPr>
              <w:autoSpaceDE w:val="0"/>
              <w:autoSpaceDN w:val="0"/>
              <w:adjustRightInd w:val="0"/>
              <w:snapToGrid w:val="0"/>
              <w:spacing w:line="276" w:lineRule="auto"/>
              <w:jc w:val="both"/>
              <w:rPr>
                <w:iCs/>
              </w:rPr>
            </w:pPr>
            <w:r w:rsidRPr="00323009">
              <w:rPr>
                <w:iCs/>
              </w:rPr>
              <w:lastRenderedPageBreak/>
              <w:t xml:space="preserve">Prin implementarea dispozițiilor proiectului de act normativ se anticipează: </w:t>
            </w:r>
          </w:p>
          <w:p w:rsidR="00931B53" w:rsidRPr="00323009" w:rsidRDefault="00931B53" w:rsidP="002679A3">
            <w:pPr>
              <w:adjustRightInd w:val="0"/>
              <w:snapToGrid w:val="0"/>
              <w:spacing w:line="276" w:lineRule="auto"/>
              <w:jc w:val="both"/>
            </w:pPr>
            <w:r w:rsidRPr="00323009">
              <w:t xml:space="preserve">- reducerea numărului persoanelor necalificate, în special a celor care fac parte din grupurile defavorizate, care nu au absolvit învățământul gimnazial; </w:t>
            </w:r>
          </w:p>
          <w:p w:rsidR="00931B53" w:rsidRPr="00323009" w:rsidRDefault="00931B53" w:rsidP="002679A3">
            <w:pPr>
              <w:adjustRightInd w:val="0"/>
              <w:snapToGrid w:val="0"/>
              <w:spacing w:line="276" w:lineRule="auto"/>
              <w:jc w:val="both"/>
            </w:pPr>
            <w:r w:rsidRPr="00323009">
              <w:t>-  creșterea ocupării în rândul persoanelor greu ocupab</w:t>
            </w:r>
            <w:r w:rsidR="004930D8" w:rsidRPr="00323009">
              <w:t>ile concomitent cu asigurarea</w:t>
            </w:r>
            <w:r w:rsidRPr="00323009">
              <w:t xml:space="preserve"> resurse</w:t>
            </w:r>
            <w:r w:rsidR="004930D8" w:rsidRPr="00323009">
              <w:t>lor</w:t>
            </w:r>
            <w:r w:rsidRPr="00323009">
              <w:t xml:space="preserve"> decente de trai pentru aceste persoane;  </w:t>
            </w:r>
          </w:p>
          <w:p w:rsidR="00931B53" w:rsidRPr="00323009" w:rsidRDefault="00931B53" w:rsidP="002679A3">
            <w:pPr>
              <w:adjustRightInd w:val="0"/>
              <w:snapToGrid w:val="0"/>
              <w:spacing w:line="276" w:lineRule="auto"/>
              <w:jc w:val="both"/>
              <w:rPr>
                <w:b/>
                <w:bCs/>
              </w:rPr>
            </w:pPr>
            <w:r w:rsidRPr="00323009">
              <w:t xml:space="preserve">- îmbunătățirea nivelului de aptitudini, cunoștințe și competențe, pentru tinerii care nu sunt eligibili pentru sprijin în cadrul garanției pentru tineret și care pot beneficia de programe de </w:t>
            </w:r>
            <w:r w:rsidR="004930D8" w:rsidRPr="00323009">
              <w:t>ucenicie</w:t>
            </w:r>
            <w:r w:rsidRPr="00323009">
              <w:t xml:space="preserve"> de nivel 1 de calificare relevante pentru piața muncii.</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9C3DF5" w:rsidRPr="00323009" w:rsidRDefault="002E04B8" w:rsidP="002679A3">
            <w:pPr>
              <w:adjustRightInd w:val="0"/>
              <w:snapToGrid w:val="0"/>
              <w:spacing w:line="276" w:lineRule="auto"/>
              <w:jc w:val="both"/>
              <w:rPr>
                <w:b/>
              </w:rPr>
            </w:pPr>
            <w:r w:rsidRPr="00323009">
              <w:rPr>
                <w:b/>
              </w:rPr>
              <w:lastRenderedPageBreak/>
              <w:t>4. Impact</w:t>
            </w:r>
            <w:r w:rsidR="00C96CFF" w:rsidRPr="00323009">
              <w:rPr>
                <w:b/>
              </w:rPr>
              <w:t>ul</w:t>
            </w:r>
            <w:r w:rsidRPr="00323009">
              <w:rPr>
                <w:b/>
              </w:rPr>
              <w:t xml:space="preserve"> asupra mediului</w:t>
            </w:r>
          </w:p>
          <w:p w:rsidR="002E04B8" w:rsidRPr="00323009" w:rsidRDefault="002E04B8" w:rsidP="002679A3">
            <w:pPr>
              <w:adjustRightInd w:val="0"/>
              <w:snapToGrid w:val="0"/>
              <w:spacing w:line="276" w:lineRule="auto"/>
              <w:jc w:val="both"/>
              <w:rPr>
                <w:lang w:eastAsia="en-US"/>
              </w:rPr>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955C36" w:rsidRPr="00323009" w:rsidRDefault="005B72A3" w:rsidP="002679A3">
            <w:pPr>
              <w:adjustRightInd w:val="0"/>
              <w:snapToGrid w:val="0"/>
              <w:spacing w:line="276" w:lineRule="auto"/>
              <w:jc w:val="both"/>
            </w:pPr>
            <w:r w:rsidRPr="00323009">
              <w:rPr>
                <w:b/>
                <w:bCs/>
              </w:rPr>
              <w:t>5.</w:t>
            </w:r>
            <w:r w:rsidR="002E04B8" w:rsidRPr="00323009">
              <w:rPr>
                <w:b/>
                <w:bCs/>
              </w:rPr>
              <w:t xml:space="preserve">Alte informaţii </w:t>
            </w:r>
            <w:r w:rsidR="0091026F" w:rsidRPr="00323009">
              <w:t>.</w:t>
            </w:r>
          </w:p>
          <w:p w:rsidR="0015504B" w:rsidRPr="00323009" w:rsidRDefault="002E04B8" w:rsidP="002679A3">
            <w:pPr>
              <w:pStyle w:val="ListParagraph"/>
              <w:adjustRightInd w:val="0"/>
              <w:snapToGrid w:val="0"/>
              <w:ind w:left="142"/>
              <w:jc w:val="both"/>
              <w:rPr>
                <w:rFonts w:ascii="Times New Roman" w:hAnsi="Times New Roman"/>
                <w:sz w:val="24"/>
                <w:szCs w:val="24"/>
              </w:rPr>
            </w:pPr>
            <w:r w:rsidRPr="00323009">
              <w:rPr>
                <w:rFonts w:ascii="Times New Roman" w:hAnsi="Times New Roman"/>
                <w:sz w:val="24"/>
                <w:szCs w:val="24"/>
              </w:rPr>
              <w:t xml:space="preserve">Nu </w:t>
            </w:r>
            <w:proofErr w:type="spellStart"/>
            <w:r w:rsidRPr="00323009">
              <w:rPr>
                <w:rFonts w:ascii="Times New Roman" w:hAnsi="Times New Roman"/>
                <w:sz w:val="24"/>
                <w:szCs w:val="24"/>
              </w:rPr>
              <w:t>este</w:t>
            </w:r>
            <w:proofErr w:type="spellEnd"/>
            <w:r w:rsidRPr="00323009">
              <w:rPr>
                <w:rFonts w:ascii="Times New Roman" w:hAnsi="Times New Roman"/>
                <w:sz w:val="24"/>
                <w:szCs w:val="24"/>
              </w:rPr>
              <w:t xml:space="preserve"> </w:t>
            </w:r>
            <w:proofErr w:type="spellStart"/>
            <w:r w:rsidRPr="00323009">
              <w:rPr>
                <w:rFonts w:ascii="Times New Roman" w:hAnsi="Times New Roman"/>
                <w:sz w:val="24"/>
                <w:szCs w:val="24"/>
              </w:rPr>
              <w:t>cazul</w:t>
            </w:r>
            <w:proofErr w:type="spellEnd"/>
            <w:r w:rsidRPr="00323009">
              <w:rPr>
                <w:rFonts w:ascii="Times New Roman" w:hAnsi="Times New Roman"/>
                <w:sz w:val="24"/>
                <w:szCs w:val="24"/>
              </w:rPr>
              <w: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EB69E0" w:rsidRPr="00323009" w:rsidRDefault="00F47FEF" w:rsidP="002679A3">
            <w:pPr>
              <w:adjustRightInd w:val="0"/>
              <w:snapToGrid w:val="0"/>
              <w:spacing w:line="276" w:lineRule="auto"/>
              <w:rPr>
                <w:b/>
              </w:rPr>
            </w:pPr>
            <w:r w:rsidRPr="00323009">
              <w:rPr>
                <w:b/>
              </w:rPr>
              <w:t xml:space="preserve">                                                                     </w:t>
            </w:r>
          </w:p>
          <w:p w:rsidR="00156C3A" w:rsidRPr="00323009" w:rsidRDefault="00EB69E0" w:rsidP="002679A3">
            <w:pPr>
              <w:adjustRightInd w:val="0"/>
              <w:snapToGrid w:val="0"/>
              <w:spacing w:line="276" w:lineRule="auto"/>
              <w:rPr>
                <w:b/>
              </w:rPr>
            </w:pPr>
            <w:r w:rsidRPr="00323009">
              <w:rPr>
                <w:b/>
              </w:rPr>
              <w:t xml:space="preserve">                                                                  </w:t>
            </w:r>
            <w:r w:rsidR="002E04B8" w:rsidRPr="00323009">
              <w:rPr>
                <w:b/>
              </w:rPr>
              <w:t>Secţiunea a 4-a</w:t>
            </w:r>
          </w:p>
          <w:p w:rsidR="002E04B8" w:rsidRPr="00323009" w:rsidRDefault="002E04B8" w:rsidP="002679A3">
            <w:pPr>
              <w:adjustRightInd w:val="0"/>
              <w:snapToGrid w:val="0"/>
              <w:spacing w:line="276" w:lineRule="auto"/>
              <w:jc w:val="center"/>
              <w:rPr>
                <w:b/>
                <w:lang w:eastAsia="en-US"/>
              </w:rPr>
            </w:pPr>
            <w:r w:rsidRPr="00323009">
              <w:rPr>
                <w:b/>
              </w:rPr>
              <w:t>Impactul financiar asupra bugetului general consolidat,</w:t>
            </w:r>
          </w:p>
          <w:p w:rsidR="0044539D" w:rsidRPr="00323009" w:rsidRDefault="002E04B8" w:rsidP="002679A3">
            <w:pPr>
              <w:adjustRightInd w:val="0"/>
              <w:snapToGrid w:val="0"/>
              <w:spacing w:line="276" w:lineRule="auto"/>
              <w:jc w:val="center"/>
              <w:rPr>
                <w:b/>
                <w:lang w:eastAsia="en-US"/>
              </w:rPr>
            </w:pPr>
            <w:r w:rsidRPr="00323009">
              <w:rPr>
                <w:b/>
              </w:rPr>
              <w:t>atât pe termen scurt, pentru anul curent, cât şi pe termen lung (pe 5 ani)</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right"/>
              <w:rPr>
                <w:lang w:eastAsia="en-US"/>
              </w:rPr>
            </w:pPr>
            <w:r w:rsidRPr="00323009">
              <w:t xml:space="preserve">- în mii lei (RON) - </w:t>
            </w:r>
          </w:p>
        </w:tc>
      </w:tr>
      <w:tr w:rsidR="00323009" w:rsidRPr="00323009" w:rsidTr="000B3FE7">
        <w:trPr>
          <w:trHeight w:val="1152"/>
        </w:trPr>
        <w:tc>
          <w:tcPr>
            <w:tcW w:w="4537"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Indicatori</w:t>
            </w: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pPr>
            <w:r w:rsidRPr="00323009">
              <w:t>Anul curent</w:t>
            </w:r>
          </w:p>
          <w:p w:rsidR="00A41FA8" w:rsidRPr="00323009" w:rsidRDefault="00B455FC" w:rsidP="002679A3">
            <w:pPr>
              <w:adjustRightInd w:val="0"/>
              <w:snapToGrid w:val="0"/>
              <w:spacing w:line="276" w:lineRule="auto"/>
              <w:jc w:val="center"/>
              <w:rPr>
                <w:lang w:eastAsia="en-US"/>
              </w:rPr>
            </w:pPr>
            <w:r w:rsidRPr="00323009">
              <w:t>(2019</w:t>
            </w:r>
            <w:r w:rsidR="00A41FA8" w:rsidRPr="00323009">
              <w:t>)</w:t>
            </w:r>
          </w:p>
        </w:tc>
        <w:tc>
          <w:tcPr>
            <w:tcW w:w="3969" w:type="dxa"/>
            <w:gridSpan w:val="4"/>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pPr>
            <w:r w:rsidRPr="00323009">
              <w:t>Următorii patru ani</w:t>
            </w:r>
          </w:p>
          <w:p w:rsidR="00A41FA8" w:rsidRPr="00323009" w:rsidRDefault="00B455FC" w:rsidP="002679A3">
            <w:pPr>
              <w:adjustRightInd w:val="0"/>
              <w:snapToGrid w:val="0"/>
              <w:spacing w:line="276" w:lineRule="auto"/>
              <w:jc w:val="center"/>
              <w:rPr>
                <w:lang w:eastAsia="en-US"/>
              </w:rPr>
            </w:pPr>
            <w:r w:rsidRPr="00323009">
              <w:t>(2020 – 2023</w:t>
            </w:r>
            <w:r w:rsidR="00A41FA8" w:rsidRPr="00323009">
              <w:t>)</w:t>
            </w:r>
          </w:p>
        </w:tc>
        <w:tc>
          <w:tcPr>
            <w:tcW w:w="850"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 xml:space="preserve">Media pe cinci ani </w:t>
            </w:r>
          </w:p>
        </w:tc>
      </w:tr>
      <w:tr w:rsidR="00323009" w:rsidRPr="00323009" w:rsidTr="000B3FE7">
        <w:tc>
          <w:tcPr>
            <w:tcW w:w="4537"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1</w:t>
            </w: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2</w:t>
            </w: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3</w:t>
            </w: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4</w:t>
            </w:r>
          </w:p>
        </w:tc>
        <w:tc>
          <w:tcPr>
            <w:tcW w:w="993"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5</w:t>
            </w: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6</w:t>
            </w:r>
          </w:p>
        </w:tc>
        <w:tc>
          <w:tcPr>
            <w:tcW w:w="850"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center"/>
              <w:rPr>
                <w:lang w:eastAsia="en-US"/>
              </w:rPr>
            </w:pPr>
            <w:r w:rsidRPr="00323009">
              <w:t>7</w:t>
            </w:r>
          </w:p>
        </w:tc>
      </w:tr>
      <w:tr w:rsidR="00323009" w:rsidRPr="00323009" w:rsidTr="000B3FE7">
        <w:tc>
          <w:tcPr>
            <w:tcW w:w="4537"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both"/>
              <w:rPr>
                <w:lang w:eastAsia="en-US"/>
              </w:rPr>
            </w:pPr>
            <w:r w:rsidRPr="00323009">
              <w:t>1. Modificări ale veniturilor bugetare, plus/minus, din care:</w:t>
            </w:r>
          </w:p>
          <w:p w:rsidR="002E04B8" w:rsidRPr="00323009" w:rsidRDefault="002E04B8" w:rsidP="002679A3">
            <w:pPr>
              <w:adjustRightInd w:val="0"/>
              <w:snapToGrid w:val="0"/>
              <w:spacing w:line="276" w:lineRule="auto"/>
              <w:jc w:val="both"/>
              <w:rPr>
                <w:lang w:eastAsia="en-US"/>
              </w:rPr>
            </w:pPr>
            <w:r w:rsidRPr="00323009">
              <w:t>a) buget de stat, din acesta:</w:t>
            </w:r>
          </w:p>
          <w:p w:rsidR="002E04B8" w:rsidRPr="00323009" w:rsidRDefault="002E04B8" w:rsidP="002679A3">
            <w:pPr>
              <w:numPr>
                <w:ilvl w:val="0"/>
                <w:numId w:val="1"/>
              </w:numPr>
              <w:adjustRightInd w:val="0"/>
              <w:snapToGrid w:val="0"/>
              <w:spacing w:line="276" w:lineRule="auto"/>
              <w:jc w:val="both"/>
              <w:rPr>
                <w:lang w:eastAsia="en-US"/>
              </w:rPr>
            </w:pPr>
            <w:r w:rsidRPr="00323009">
              <w:t>impozit pe profit</w:t>
            </w:r>
          </w:p>
          <w:p w:rsidR="002E04B8" w:rsidRPr="00323009" w:rsidRDefault="002E04B8" w:rsidP="002679A3">
            <w:pPr>
              <w:numPr>
                <w:ilvl w:val="0"/>
                <w:numId w:val="1"/>
              </w:numPr>
              <w:adjustRightInd w:val="0"/>
              <w:snapToGrid w:val="0"/>
              <w:spacing w:line="276" w:lineRule="auto"/>
              <w:jc w:val="both"/>
              <w:rPr>
                <w:lang w:eastAsia="en-US"/>
              </w:rPr>
            </w:pPr>
            <w:r w:rsidRPr="00323009">
              <w:t>impozit pe venit</w:t>
            </w:r>
          </w:p>
          <w:p w:rsidR="002E04B8" w:rsidRPr="00323009" w:rsidRDefault="002E04B8" w:rsidP="002679A3">
            <w:pPr>
              <w:adjustRightInd w:val="0"/>
              <w:snapToGrid w:val="0"/>
              <w:spacing w:line="276" w:lineRule="auto"/>
              <w:jc w:val="both"/>
              <w:rPr>
                <w:lang w:eastAsia="en-US"/>
              </w:rPr>
            </w:pPr>
            <w:r w:rsidRPr="00323009">
              <w:t>b) bugete locale</w:t>
            </w:r>
            <w:r w:rsidR="00667603" w:rsidRPr="00323009">
              <w:t>:</w:t>
            </w:r>
          </w:p>
          <w:p w:rsidR="002E04B8" w:rsidRPr="00323009" w:rsidRDefault="002E04B8" w:rsidP="002679A3">
            <w:pPr>
              <w:numPr>
                <w:ilvl w:val="0"/>
                <w:numId w:val="2"/>
              </w:numPr>
              <w:adjustRightInd w:val="0"/>
              <w:snapToGrid w:val="0"/>
              <w:spacing w:line="276" w:lineRule="auto"/>
              <w:jc w:val="both"/>
              <w:rPr>
                <w:lang w:eastAsia="en-US"/>
              </w:rPr>
            </w:pPr>
            <w:r w:rsidRPr="00323009">
              <w:t>impozit pe profit</w:t>
            </w:r>
          </w:p>
          <w:p w:rsidR="002E04B8" w:rsidRPr="00323009" w:rsidRDefault="002E04B8" w:rsidP="002679A3">
            <w:pPr>
              <w:adjustRightInd w:val="0"/>
              <w:snapToGrid w:val="0"/>
              <w:spacing w:line="276" w:lineRule="auto"/>
              <w:jc w:val="both"/>
              <w:rPr>
                <w:lang w:eastAsia="en-US"/>
              </w:rPr>
            </w:pPr>
            <w:r w:rsidRPr="00323009">
              <w:t>c) bugetul asigurărilor sociale de stat:</w:t>
            </w:r>
          </w:p>
          <w:p w:rsidR="002E04B8" w:rsidRPr="00323009" w:rsidRDefault="002E04B8" w:rsidP="002679A3">
            <w:pPr>
              <w:numPr>
                <w:ilvl w:val="0"/>
                <w:numId w:val="3"/>
              </w:numPr>
              <w:adjustRightInd w:val="0"/>
              <w:snapToGrid w:val="0"/>
              <w:spacing w:line="276" w:lineRule="auto"/>
              <w:jc w:val="both"/>
              <w:rPr>
                <w:lang w:eastAsia="en-US"/>
              </w:rPr>
            </w:pPr>
            <w:r w:rsidRPr="00323009">
              <w:t>contribuţii de asigurări</w:t>
            </w: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pStyle w:val="Header"/>
              <w:tabs>
                <w:tab w:val="left" w:pos="720"/>
              </w:tabs>
              <w:adjustRightInd w:val="0"/>
              <w:snapToGrid w:val="0"/>
              <w:spacing w:line="276" w:lineRule="auto"/>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rPr>
                <w:lang w:eastAsia="en-US"/>
              </w:rPr>
            </w:pPr>
          </w:p>
        </w:tc>
      </w:tr>
      <w:tr w:rsidR="00323009" w:rsidRPr="00323009" w:rsidTr="000B3FE7">
        <w:trPr>
          <w:trHeight w:val="3025"/>
        </w:trPr>
        <w:tc>
          <w:tcPr>
            <w:tcW w:w="4537"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jc w:val="both"/>
              <w:rPr>
                <w:lang w:eastAsia="en-US"/>
              </w:rPr>
            </w:pPr>
            <w:r w:rsidRPr="00323009">
              <w:rPr>
                <w:bCs/>
              </w:rPr>
              <w:t xml:space="preserve">2. </w:t>
            </w:r>
            <w:r w:rsidRPr="00323009">
              <w:t>Modificări ale cheltuielilor bugetare, plus/minus, din care:</w:t>
            </w:r>
          </w:p>
          <w:p w:rsidR="002E04B8" w:rsidRPr="00323009" w:rsidRDefault="002E04B8" w:rsidP="002679A3">
            <w:pPr>
              <w:adjustRightInd w:val="0"/>
              <w:snapToGrid w:val="0"/>
              <w:spacing w:line="276" w:lineRule="auto"/>
              <w:jc w:val="both"/>
              <w:rPr>
                <w:lang w:eastAsia="en-US"/>
              </w:rPr>
            </w:pPr>
            <w:r w:rsidRPr="00323009">
              <w:t>a) buget de stat, din acesta:</w:t>
            </w:r>
          </w:p>
          <w:p w:rsidR="002E04B8" w:rsidRPr="00323009" w:rsidRDefault="002E04B8" w:rsidP="002679A3">
            <w:pPr>
              <w:numPr>
                <w:ilvl w:val="0"/>
                <w:numId w:val="4"/>
              </w:numPr>
              <w:adjustRightInd w:val="0"/>
              <w:snapToGrid w:val="0"/>
              <w:spacing w:line="276" w:lineRule="auto"/>
              <w:jc w:val="both"/>
              <w:rPr>
                <w:lang w:eastAsia="en-US"/>
              </w:rPr>
            </w:pPr>
            <w:r w:rsidRPr="00323009">
              <w:t>cheltuieli de personal</w:t>
            </w:r>
          </w:p>
          <w:p w:rsidR="002E04B8" w:rsidRPr="00323009" w:rsidRDefault="002E04B8" w:rsidP="002679A3">
            <w:pPr>
              <w:numPr>
                <w:ilvl w:val="0"/>
                <w:numId w:val="4"/>
              </w:numPr>
              <w:adjustRightInd w:val="0"/>
              <w:snapToGrid w:val="0"/>
              <w:spacing w:line="276" w:lineRule="auto"/>
              <w:jc w:val="both"/>
              <w:rPr>
                <w:lang w:eastAsia="en-US"/>
              </w:rPr>
            </w:pPr>
            <w:r w:rsidRPr="00323009">
              <w:t>bunuri şi servicii</w:t>
            </w:r>
          </w:p>
          <w:p w:rsidR="002E04B8" w:rsidRPr="00323009" w:rsidRDefault="002E04B8" w:rsidP="002679A3">
            <w:pPr>
              <w:adjustRightInd w:val="0"/>
              <w:snapToGrid w:val="0"/>
              <w:spacing w:line="276" w:lineRule="auto"/>
              <w:jc w:val="both"/>
              <w:rPr>
                <w:lang w:eastAsia="en-US"/>
              </w:rPr>
            </w:pPr>
            <w:r w:rsidRPr="00323009">
              <w:t>b) bugete locale:</w:t>
            </w:r>
          </w:p>
          <w:p w:rsidR="002E04B8" w:rsidRPr="00323009" w:rsidRDefault="002E04B8" w:rsidP="002679A3">
            <w:pPr>
              <w:numPr>
                <w:ilvl w:val="0"/>
                <w:numId w:val="5"/>
              </w:numPr>
              <w:adjustRightInd w:val="0"/>
              <w:snapToGrid w:val="0"/>
              <w:spacing w:line="276" w:lineRule="auto"/>
              <w:jc w:val="both"/>
              <w:rPr>
                <w:lang w:eastAsia="en-US"/>
              </w:rPr>
            </w:pPr>
            <w:r w:rsidRPr="00323009">
              <w:t>cheltuieli de personal</w:t>
            </w:r>
          </w:p>
          <w:p w:rsidR="002E04B8" w:rsidRPr="00323009" w:rsidRDefault="002E04B8" w:rsidP="002679A3">
            <w:pPr>
              <w:numPr>
                <w:ilvl w:val="0"/>
                <w:numId w:val="5"/>
              </w:numPr>
              <w:adjustRightInd w:val="0"/>
              <w:snapToGrid w:val="0"/>
              <w:spacing w:line="276" w:lineRule="auto"/>
              <w:jc w:val="both"/>
              <w:rPr>
                <w:lang w:eastAsia="en-US"/>
              </w:rPr>
            </w:pPr>
            <w:r w:rsidRPr="00323009">
              <w:t>bunuri şi servicii</w:t>
            </w:r>
          </w:p>
          <w:p w:rsidR="002E04B8" w:rsidRPr="00323009" w:rsidRDefault="002E04B8" w:rsidP="002679A3">
            <w:pPr>
              <w:adjustRightInd w:val="0"/>
              <w:snapToGrid w:val="0"/>
              <w:spacing w:line="276" w:lineRule="auto"/>
              <w:jc w:val="both"/>
              <w:rPr>
                <w:lang w:eastAsia="en-US"/>
              </w:rPr>
            </w:pPr>
            <w:r w:rsidRPr="00323009">
              <w:t>c) bugetul asigurărilor sociale de stat</w:t>
            </w:r>
            <w:r w:rsidR="00EC6DC4" w:rsidRPr="00323009">
              <w:t xml:space="preserve"> – bugetul asigurărilor pentru șomaj</w:t>
            </w:r>
            <w:r w:rsidRPr="00323009">
              <w:t>:</w:t>
            </w:r>
          </w:p>
          <w:p w:rsidR="002E04B8" w:rsidRPr="00323009" w:rsidRDefault="002E04B8" w:rsidP="002679A3">
            <w:pPr>
              <w:numPr>
                <w:ilvl w:val="0"/>
                <w:numId w:val="6"/>
              </w:numPr>
              <w:adjustRightInd w:val="0"/>
              <w:snapToGrid w:val="0"/>
              <w:spacing w:line="276" w:lineRule="auto"/>
              <w:jc w:val="both"/>
              <w:rPr>
                <w:lang w:eastAsia="en-US"/>
              </w:rPr>
            </w:pPr>
            <w:r w:rsidRPr="00323009">
              <w:t>cheltuieli de personal</w:t>
            </w:r>
          </w:p>
          <w:p w:rsidR="002E04B8" w:rsidRPr="00323009" w:rsidRDefault="002E04B8" w:rsidP="002679A3">
            <w:pPr>
              <w:numPr>
                <w:ilvl w:val="0"/>
                <w:numId w:val="6"/>
              </w:numPr>
              <w:adjustRightInd w:val="0"/>
              <w:snapToGrid w:val="0"/>
              <w:spacing w:line="276" w:lineRule="auto"/>
              <w:jc w:val="both"/>
              <w:rPr>
                <w:lang w:eastAsia="en-US"/>
              </w:rPr>
            </w:pPr>
            <w:r w:rsidRPr="00323009">
              <w:t>bunuri şi servicii</w:t>
            </w:r>
            <w:r w:rsidRPr="00323009">
              <w:rPr>
                <w:bCs/>
              </w:rPr>
              <w:t xml:space="preserve"> </w:t>
            </w:r>
          </w:p>
        </w:tc>
        <w:tc>
          <w:tcPr>
            <w:tcW w:w="992" w:type="dxa"/>
            <w:tcBorders>
              <w:top w:val="single" w:sz="4" w:space="0" w:color="auto"/>
              <w:left w:val="single" w:sz="4" w:space="0" w:color="auto"/>
              <w:bottom w:val="single" w:sz="4" w:space="0" w:color="auto"/>
              <w:right w:val="single" w:sz="4" w:space="0" w:color="auto"/>
            </w:tcBorders>
          </w:tcPr>
          <w:p w:rsidR="00A41FA8" w:rsidRPr="00323009" w:rsidRDefault="00A41FA8"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A41FA8" w:rsidRPr="00323009" w:rsidRDefault="00A41FA8"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1285" w:rsidRPr="00323009" w:rsidRDefault="00BC1285" w:rsidP="002679A3">
            <w:pPr>
              <w:adjustRightInd w:val="0"/>
              <w:snapToGri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BC1285" w:rsidRPr="00323009" w:rsidRDefault="00BC1285"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1285" w:rsidRPr="00323009" w:rsidRDefault="00BC1285" w:rsidP="002679A3">
            <w:pPr>
              <w:adjustRightInd w:val="0"/>
              <w:snapToGrid w:val="0"/>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2E04B8" w:rsidRPr="00323009" w:rsidRDefault="002E04B8" w:rsidP="002679A3">
            <w:pPr>
              <w:adjustRightInd w:val="0"/>
              <w:snapToGrid w:val="0"/>
              <w:spacing w:line="276" w:lineRule="auto"/>
              <w:rPr>
                <w:lang w:eastAsia="en-US"/>
              </w:rPr>
            </w:pPr>
          </w:p>
          <w:p w:rsidR="002E04B8" w:rsidRPr="00323009" w:rsidRDefault="002E04B8" w:rsidP="002679A3">
            <w:pPr>
              <w:adjustRightInd w:val="0"/>
              <w:snapToGrid w:val="0"/>
              <w:spacing w:line="276" w:lineRule="auto"/>
              <w:rPr>
                <w:lang w:eastAsia="en-US"/>
              </w:rPr>
            </w:pPr>
          </w:p>
        </w:tc>
      </w:tr>
      <w:tr w:rsidR="00323009" w:rsidRPr="00323009" w:rsidTr="000B3FE7">
        <w:tc>
          <w:tcPr>
            <w:tcW w:w="4537"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lang w:eastAsia="en-US"/>
              </w:rPr>
            </w:pPr>
            <w:r w:rsidRPr="00323009">
              <w:rPr>
                <w:bCs/>
              </w:rPr>
              <w:lastRenderedPageBreak/>
              <w:t xml:space="preserve">3. </w:t>
            </w:r>
            <w:r w:rsidRPr="00323009">
              <w:t>Impact financiar, plus/minus, din care:</w:t>
            </w:r>
          </w:p>
          <w:p w:rsidR="0018755A" w:rsidRPr="00323009" w:rsidRDefault="0018755A" w:rsidP="002679A3">
            <w:pPr>
              <w:adjustRightInd w:val="0"/>
              <w:snapToGrid w:val="0"/>
              <w:spacing w:line="276" w:lineRule="auto"/>
              <w:jc w:val="both"/>
              <w:rPr>
                <w:lang w:eastAsia="en-US"/>
              </w:rPr>
            </w:pPr>
            <w:r w:rsidRPr="00323009">
              <w:t>a)</w:t>
            </w:r>
            <w:r w:rsidRPr="00323009">
              <w:rPr>
                <w:vertAlign w:val="superscript"/>
              </w:rPr>
              <w:t xml:space="preserve"> </w:t>
            </w:r>
            <w:r w:rsidRPr="00323009">
              <w:t>buget de stat</w:t>
            </w:r>
          </w:p>
          <w:p w:rsidR="0018755A" w:rsidRPr="00323009" w:rsidRDefault="0018755A" w:rsidP="002679A3">
            <w:pPr>
              <w:adjustRightInd w:val="0"/>
              <w:snapToGrid w:val="0"/>
              <w:spacing w:line="276" w:lineRule="auto"/>
            </w:pPr>
            <w:r w:rsidRPr="00323009">
              <w:t>b) bugete locale</w:t>
            </w:r>
          </w:p>
          <w:p w:rsidR="0018755A" w:rsidRPr="00323009" w:rsidRDefault="0018755A" w:rsidP="002679A3">
            <w:pPr>
              <w:adjustRightInd w:val="0"/>
              <w:snapToGrid w:val="0"/>
              <w:spacing w:line="276" w:lineRule="auto"/>
              <w:rPr>
                <w:bCs/>
                <w:lang w:eastAsia="en-US"/>
              </w:rPr>
            </w:pPr>
            <w:r w:rsidRPr="00323009">
              <w:t>c) bugetul asigurărilor sociale de stat – bugetul asigurărilor pentru șomaj</w:t>
            </w: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r>
      <w:tr w:rsidR="00323009" w:rsidRPr="00323009" w:rsidTr="000B3FE7">
        <w:tc>
          <w:tcPr>
            <w:tcW w:w="4537"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bCs/>
                <w:lang w:eastAsia="en-US"/>
              </w:rPr>
            </w:pPr>
            <w:r w:rsidRPr="00323009">
              <w:rPr>
                <w:bCs/>
              </w:rPr>
              <w:t>4.</w:t>
            </w:r>
            <w:r w:rsidRPr="00323009">
              <w:t xml:space="preserve"> Propuneri pentru acoperirea creşterii cheltuielilor bugetare</w:t>
            </w: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r>
      <w:tr w:rsidR="00323009" w:rsidRPr="00323009" w:rsidTr="000B3FE7">
        <w:tc>
          <w:tcPr>
            <w:tcW w:w="4537"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lang w:eastAsia="en-US"/>
              </w:rPr>
            </w:pPr>
            <w:r w:rsidRPr="00323009">
              <w:t>5. Propuneri pentru a compensa reducerea veniturilor bugetare</w:t>
            </w: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r>
      <w:tr w:rsidR="00323009" w:rsidRPr="00323009" w:rsidTr="000B3FE7">
        <w:tc>
          <w:tcPr>
            <w:tcW w:w="4537"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lang w:eastAsia="en-US"/>
              </w:rPr>
            </w:pPr>
            <w:r w:rsidRPr="00323009">
              <w:t>6. Calcule detaliate privind fundamentarea modificărilor veniturilor şi/sau cheltuielilor bugetare.</w:t>
            </w: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pStyle w:val="Footer"/>
              <w:tabs>
                <w:tab w:val="left" w:pos="708"/>
              </w:tabs>
              <w:adjustRightInd w:val="0"/>
              <w:snapToGrid w:val="0"/>
              <w:spacing w:line="276" w:lineRule="auto"/>
              <w:rPr>
                <w:lang w:val="ro-RO"/>
              </w:rPr>
            </w:pPr>
          </w:p>
        </w:tc>
      </w:tr>
      <w:tr w:rsidR="00323009" w:rsidRPr="00323009" w:rsidTr="000B3FE7">
        <w:tc>
          <w:tcPr>
            <w:tcW w:w="4537" w:type="dxa"/>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rPr>
                <w:lang w:eastAsia="en-US"/>
              </w:rPr>
            </w:pPr>
            <w:r w:rsidRPr="00323009">
              <w:t xml:space="preserve">7. Alte informaţii - </w:t>
            </w:r>
          </w:p>
        </w:tc>
        <w:tc>
          <w:tcPr>
            <w:tcW w:w="5811" w:type="dxa"/>
            <w:gridSpan w:val="6"/>
            <w:tcBorders>
              <w:top w:val="single" w:sz="4" w:space="0" w:color="auto"/>
              <w:left w:val="single" w:sz="4" w:space="0" w:color="auto"/>
              <w:bottom w:val="single" w:sz="4" w:space="0" w:color="auto"/>
              <w:right w:val="single" w:sz="4" w:space="0" w:color="auto"/>
            </w:tcBorders>
          </w:tcPr>
          <w:p w:rsidR="0018755A" w:rsidRPr="00323009" w:rsidRDefault="00786848" w:rsidP="002679A3">
            <w:pPr>
              <w:pStyle w:val="Footer"/>
              <w:tabs>
                <w:tab w:val="left" w:pos="708"/>
              </w:tabs>
              <w:adjustRightInd w:val="0"/>
              <w:snapToGrid w:val="0"/>
              <w:spacing w:line="276" w:lineRule="auto"/>
              <w:rPr>
                <w:lang w:val="ro-RO"/>
              </w:rPr>
            </w:pPr>
            <w:r w:rsidRPr="00323009">
              <w:rPr>
                <w:lang w:val="ro-RO"/>
              </w:rPr>
              <w:t>Măsurile preconizate nu au incidență asupra bugetului general consolidat, atât pe termen scurt, pentru anul curent, cât şi pe termen lung (pe 5 ani)</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617FAA" w:rsidRPr="00323009" w:rsidRDefault="00617FAA" w:rsidP="002679A3">
            <w:pPr>
              <w:adjustRightInd w:val="0"/>
              <w:snapToGrid w:val="0"/>
              <w:spacing w:line="276" w:lineRule="auto"/>
              <w:rPr>
                <w:b/>
              </w:rPr>
            </w:pPr>
          </w:p>
          <w:p w:rsidR="00156C3A" w:rsidRPr="00323009" w:rsidRDefault="0018755A" w:rsidP="002679A3">
            <w:pPr>
              <w:adjustRightInd w:val="0"/>
              <w:snapToGrid w:val="0"/>
              <w:spacing w:line="276" w:lineRule="auto"/>
              <w:jc w:val="center"/>
              <w:rPr>
                <w:b/>
              </w:rPr>
            </w:pPr>
            <w:r w:rsidRPr="00323009">
              <w:rPr>
                <w:b/>
              </w:rPr>
              <w:t>Secţiunea a 5-a</w:t>
            </w:r>
          </w:p>
          <w:p w:rsidR="0018755A" w:rsidRPr="00323009" w:rsidRDefault="0018755A" w:rsidP="002679A3">
            <w:pPr>
              <w:adjustRightInd w:val="0"/>
              <w:snapToGrid w:val="0"/>
              <w:spacing w:line="276" w:lineRule="auto"/>
              <w:jc w:val="center"/>
              <w:rPr>
                <w:b/>
              </w:rPr>
            </w:pPr>
            <w:r w:rsidRPr="00323009">
              <w:rPr>
                <w:b/>
              </w:rPr>
              <w:t>Efectele proiectului de act normativ asupra legislaţiei în vigoare</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3F2679" w:rsidRPr="00323009" w:rsidRDefault="003F2679" w:rsidP="002679A3">
            <w:pPr>
              <w:adjustRightInd w:val="0"/>
              <w:snapToGrid w:val="0"/>
              <w:spacing w:line="276" w:lineRule="auto"/>
              <w:jc w:val="both"/>
              <w:rPr>
                <w:b/>
              </w:rPr>
            </w:pPr>
          </w:p>
          <w:p w:rsidR="000918BE" w:rsidRPr="00323009" w:rsidRDefault="0018755A" w:rsidP="002679A3">
            <w:pPr>
              <w:adjustRightInd w:val="0"/>
              <w:snapToGrid w:val="0"/>
              <w:spacing w:line="276" w:lineRule="auto"/>
              <w:jc w:val="both"/>
              <w:rPr>
                <w:b/>
                <w:iCs/>
              </w:rPr>
            </w:pPr>
            <w:r w:rsidRPr="00323009">
              <w:rPr>
                <w:b/>
              </w:rPr>
              <w:t xml:space="preserve">1. </w:t>
            </w:r>
            <w:r w:rsidRPr="00323009">
              <w:rPr>
                <w:b/>
                <w:iCs/>
              </w:rPr>
              <w:t>Măsuri normative necesare pentru aplicarea prevederilor proiectului de act normativ:</w:t>
            </w:r>
          </w:p>
          <w:p w:rsidR="00FF201D" w:rsidRPr="00323009" w:rsidRDefault="00FF201D" w:rsidP="002679A3">
            <w:pPr>
              <w:adjustRightInd w:val="0"/>
              <w:snapToGrid w:val="0"/>
              <w:spacing w:line="276" w:lineRule="auto"/>
              <w:jc w:val="both"/>
              <w:rPr>
                <w:lang w:eastAsia="en-US"/>
              </w:rPr>
            </w:pPr>
            <w:r w:rsidRPr="00323009">
              <w:rPr>
                <w:lang w:eastAsia="en-US"/>
              </w:rPr>
              <w:t>a) acte normative în vigoare ce vor fi modificate sau abrogate, ca urmare a intrării în vigoare a proiectului de act normativ;</w:t>
            </w:r>
          </w:p>
          <w:p w:rsidR="0018755A" w:rsidRPr="00323009" w:rsidRDefault="00FF201D" w:rsidP="002679A3">
            <w:pPr>
              <w:adjustRightInd w:val="0"/>
              <w:snapToGrid w:val="0"/>
              <w:spacing w:line="276" w:lineRule="auto"/>
              <w:jc w:val="both"/>
              <w:rPr>
                <w:lang w:eastAsia="en-US"/>
              </w:rPr>
            </w:pPr>
            <w:r w:rsidRPr="00323009">
              <w:rPr>
                <w:lang w:eastAsia="en-US"/>
              </w:rPr>
              <w:t>b) acte normative ce urmează a fi elaborate în vederea  implementării noilor dispoziţii.</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AF477F" w:rsidP="002679A3">
            <w:pPr>
              <w:adjustRightInd w:val="0"/>
              <w:snapToGrid w:val="0"/>
              <w:spacing w:line="276" w:lineRule="auto"/>
              <w:jc w:val="both"/>
              <w:rPr>
                <w:b/>
                <w:lang w:eastAsia="en-US"/>
              </w:rPr>
            </w:pPr>
          </w:p>
          <w:p w:rsidR="00FF201D" w:rsidRPr="00323009" w:rsidRDefault="00FF201D" w:rsidP="002679A3">
            <w:pPr>
              <w:adjustRightInd w:val="0"/>
              <w:snapToGrid w:val="0"/>
              <w:spacing w:line="276" w:lineRule="auto"/>
              <w:jc w:val="both"/>
              <w:rPr>
                <w:b/>
                <w:iCs/>
              </w:rPr>
            </w:pPr>
            <w:r w:rsidRPr="00323009">
              <w:rPr>
                <w:b/>
                <w:lang w:eastAsia="en-US"/>
              </w:rPr>
              <w:t>1^</w:t>
            </w:r>
            <w:r w:rsidRPr="00323009">
              <w:rPr>
                <w:b/>
                <w:vertAlign w:val="superscript"/>
                <w:lang w:eastAsia="en-US"/>
              </w:rPr>
              <w:t>1</w:t>
            </w:r>
            <w:r w:rsidRPr="00323009">
              <w:rPr>
                <w:b/>
                <w:lang w:eastAsia="en-US"/>
              </w:rPr>
              <w:t>. Compatibilitatea proiectului de act normativ cu legislația în domeniul achizițiilor publice</w:t>
            </w:r>
          </w:p>
          <w:p w:rsidR="00FF201D" w:rsidRPr="00323009" w:rsidRDefault="00FF201D" w:rsidP="002679A3">
            <w:pPr>
              <w:autoSpaceDE w:val="0"/>
              <w:autoSpaceDN w:val="0"/>
              <w:adjustRightInd w:val="0"/>
              <w:snapToGrid w:val="0"/>
              <w:spacing w:line="276" w:lineRule="auto"/>
              <w:rPr>
                <w:b/>
              </w:rPr>
            </w:pPr>
            <w:r w:rsidRPr="00323009">
              <w:t xml:space="preserve">    </w:t>
            </w:r>
            <w:r w:rsidRPr="00323009">
              <w:rPr>
                <w:lang w:eastAsia="en-US"/>
              </w:rPr>
              <w:t>Nu este cazul.</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AF477F" w:rsidRPr="00323009" w:rsidRDefault="00AF477F" w:rsidP="002679A3">
            <w:pPr>
              <w:adjustRightInd w:val="0"/>
              <w:snapToGrid w:val="0"/>
              <w:spacing w:line="276" w:lineRule="auto"/>
              <w:jc w:val="both"/>
              <w:rPr>
                <w:b/>
              </w:rPr>
            </w:pPr>
          </w:p>
          <w:p w:rsidR="0018755A" w:rsidRPr="00323009" w:rsidRDefault="0018755A" w:rsidP="002679A3">
            <w:pPr>
              <w:adjustRightInd w:val="0"/>
              <w:snapToGrid w:val="0"/>
              <w:spacing w:line="276" w:lineRule="auto"/>
              <w:jc w:val="both"/>
              <w:rPr>
                <w:b/>
              </w:rPr>
            </w:pPr>
            <w:r w:rsidRPr="00323009">
              <w:rPr>
                <w:b/>
              </w:rPr>
              <w:t>2. Conformitatea proiectului de act normativ cu legislaţia comunitară în cazul proiectelor ce transpun prevederi comunitare</w:t>
            </w:r>
          </w:p>
          <w:p w:rsidR="0018755A" w:rsidRPr="00323009" w:rsidRDefault="0018755A" w:rsidP="002679A3">
            <w:pPr>
              <w:adjustRightInd w:val="0"/>
              <w:snapToGrid w:val="0"/>
              <w:spacing w:line="276" w:lineRule="auto"/>
              <w:jc w:val="both"/>
              <w:rPr>
                <w:lang w:eastAsia="en-US"/>
              </w:rPr>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b/>
                <w:lang w:eastAsia="en-US"/>
              </w:rPr>
            </w:pPr>
            <w:r w:rsidRPr="00323009">
              <w:rPr>
                <w:b/>
              </w:rPr>
              <w:t>3. Măsuri normative necesare aplicării directe a actelor normative comunitare</w:t>
            </w:r>
          </w:p>
          <w:p w:rsidR="0018755A" w:rsidRPr="00323009" w:rsidRDefault="0018755A" w:rsidP="002679A3">
            <w:pPr>
              <w:adjustRightInd w:val="0"/>
              <w:snapToGrid w:val="0"/>
              <w:spacing w:line="276" w:lineRule="auto"/>
              <w:jc w:val="both"/>
              <w:rPr>
                <w:lang w:eastAsia="en-US"/>
              </w:rPr>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b/>
                <w:lang w:eastAsia="en-US"/>
              </w:rPr>
            </w:pPr>
            <w:r w:rsidRPr="00323009">
              <w:rPr>
                <w:b/>
              </w:rPr>
              <w:t>4. Hotărâri ale Curţii de Justiţie a Uniunii Europene:</w:t>
            </w:r>
          </w:p>
          <w:p w:rsidR="0018755A" w:rsidRPr="00323009" w:rsidRDefault="0018755A" w:rsidP="002679A3">
            <w:pPr>
              <w:adjustRightInd w:val="0"/>
              <w:snapToGrid w:val="0"/>
              <w:spacing w:line="276" w:lineRule="auto"/>
              <w:jc w:val="both"/>
              <w:rPr>
                <w:lang w:eastAsia="en-US"/>
              </w:rPr>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b/>
                <w:bCs/>
                <w:lang w:eastAsia="en-US"/>
              </w:rPr>
            </w:pPr>
            <w:r w:rsidRPr="00323009">
              <w:rPr>
                <w:b/>
              </w:rPr>
              <w:t>5.</w:t>
            </w:r>
            <w:r w:rsidRPr="00323009">
              <w:rPr>
                <w:b/>
                <w:bCs/>
              </w:rPr>
              <w:t xml:space="preserve"> Alte acte normative şi/sau documente internaţionale din care decurg angajamente</w:t>
            </w:r>
          </w:p>
          <w:p w:rsidR="0018755A" w:rsidRPr="00323009" w:rsidRDefault="0018755A" w:rsidP="002679A3">
            <w:pPr>
              <w:adjustRightInd w:val="0"/>
              <w:snapToGrid w:val="0"/>
              <w:spacing w:line="276" w:lineRule="auto"/>
              <w:jc w:val="both"/>
              <w:rPr>
                <w:lang w:eastAsia="en-US"/>
              </w:rPr>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3F2679" w:rsidRPr="00323009" w:rsidRDefault="003F2679" w:rsidP="002679A3">
            <w:pPr>
              <w:adjustRightInd w:val="0"/>
              <w:snapToGrid w:val="0"/>
              <w:spacing w:line="276" w:lineRule="auto"/>
              <w:jc w:val="both"/>
              <w:rPr>
                <w:b/>
              </w:rPr>
            </w:pPr>
            <w:r w:rsidRPr="00323009">
              <w:rPr>
                <w:b/>
              </w:rPr>
              <w:t>6.</w:t>
            </w:r>
            <w:r w:rsidR="0018755A" w:rsidRPr="00323009">
              <w:rPr>
                <w:b/>
              </w:rPr>
              <w:t xml:space="preserve">Alte informaţii. </w:t>
            </w:r>
          </w:p>
          <w:p w:rsidR="0018755A" w:rsidRPr="00323009" w:rsidRDefault="0018755A" w:rsidP="002679A3">
            <w:pPr>
              <w:pStyle w:val="ListParagraph"/>
              <w:adjustRightInd w:val="0"/>
              <w:snapToGrid w:val="0"/>
              <w:ind w:left="168" w:hanging="26"/>
              <w:jc w:val="both"/>
              <w:rPr>
                <w:rFonts w:ascii="Times New Roman" w:hAnsi="Times New Roman"/>
                <w:sz w:val="24"/>
                <w:szCs w:val="24"/>
              </w:rPr>
            </w:pPr>
            <w:r w:rsidRPr="00323009">
              <w:rPr>
                <w:rFonts w:ascii="Times New Roman" w:hAnsi="Times New Roman"/>
                <w:bCs/>
                <w:sz w:val="24"/>
                <w:szCs w:val="24"/>
              </w:rPr>
              <w:t xml:space="preserve">Nu </w:t>
            </w:r>
            <w:proofErr w:type="spellStart"/>
            <w:r w:rsidRPr="00323009">
              <w:rPr>
                <w:rFonts w:ascii="Times New Roman" w:hAnsi="Times New Roman"/>
                <w:bCs/>
                <w:sz w:val="24"/>
                <w:szCs w:val="24"/>
              </w:rPr>
              <w:t>este</w:t>
            </w:r>
            <w:proofErr w:type="spellEnd"/>
            <w:r w:rsidRPr="00323009">
              <w:rPr>
                <w:rFonts w:ascii="Times New Roman" w:hAnsi="Times New Roman"/>
                <w:bCs/>
                <w:sz w:val="24"/>
                <w:szCs w:val="24"/>
              </w:rPr>
              <w:t xml:space="preserve"> </w:t>
            </w:r>
            <w:proofErr w:type="spellStart"/>
            <w:r w:rsidRPr="00323009">
              <w:rPr>
                <w:rFonts w:ascii="Times New Roman" w:hAnsi="Times New Roman"/>
                <w:bCs/>
                <w:sz w:val="24"/>
                <w:szCs w:val="24"/>
              </w:rPr>
              <w:t>cazul</w:t>
            </w:r>
            <w:proofErr w:type="spellEnd"/>
            <w:r w:rsidRPr="00323009">
              <w:rPr>
                <w:rFonts w:ascii="Times New Roman" w:hAnsi="Times New Roman"/>
                <w:bCs/>
                <w:sz w:val="24"/>
                <w:szCs w:val="24"/>
              </w:rPr>
              <w: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452EF7" w:rsidRPr="00323009" w:rsidRDefault="0018755A" w:rsidP="002679A3">
            <w:pPr>
              <w:adjustRightInd w:val="0"/>
              <w:snapToGrid w:val="0"/>
              <w:spacing w:line="276" w:lineRule="auto"/>
              <w:jc w:val="center"/>
              <w:rPr>
                <w:b/>
              </w:rPr>
            </w:pPr>
            <w:r w:rsidRPr="00323009">
              <w:rPr>
                <w:b/>
              </w:rPr>
              <w:t>Secţiunea a 6-a</w:t>
            </w:r>
          </w:p>
          <w:p w:rsidR="0044539D" w:rsidRPr="00323009" w:rsidRDefault="0018755A" w:rsidP="002679A3">
            <w:pPr>
              <w:adjustRightInd w:val="0"/>
              <w:snapToGrid w:val="0"/>
              <w:spacing w:line="276" w:lineRule="auto"/>
              <w:jc w:val="center"/>
              <w:rPr>
                <w:b/>
              </w:rPr>
            </w:pPr>
            <w:r w:rsidRPr="00323009">
              <w:rPr>
                <w:b/>
              </w:rPr>
              <w:t>Consultările efectuate în vederea elaborării proiectului de act normativ</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b/>
                <w:bCs/>
              </w:rPr>
            </w:pPr>
            <w:r w:rsidRPr="00323009">
              <w:rPr>
                <w:b/>
              </w:rPr>
              <w:t>1. Informaţii privind procesul de consultare cu organizaţii neguvernamentale, institute de cercetare şi alte organisme implicate</w:t>
            </w:r>
            <w:r w:rsidRPr="00323009">
              <w:rPr>
                <w:b/>
                <w:bCs/>
              </w:rPr>
              <w:t xml:space="preserve"> </w:t>
            </w:r>
          </w:p>
          <w:p w:rsidR="00FF201D" w:rsidRPr="00323009" w:rsidRDefault="00FF201D" w:rsidP="002679A3">
            <w:pPr>
              <w:adjustRightInd w:val="0"/>
              <w:snapToGrid w:val="0"/>
              <w:spacing w:line="276" w:lineRule="auto"/>
              <w:jc w:val="both"/>
              <w:rPr>
                <w:b/>
                <w:bCs/>
              </w:rPr>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b/>
                <w:bCs/>
              </w:rPr>
            </w:pPr>
            <w:r w:rsidRPr="00323009">
              <w:rPr>
                <w:b/>
              </w:rPr>
              <w:lastRenderedPageBreak/>
              <w:t xml:space="preserve">2. Fundamentarea alegerii organizaţiilor cu care a avut loc consultarea, precum </w:t>
            </w:r>
            <w:r w:rsidRPr="00323009">
              <w:rPr>
                <w:b/>
                <w:bCs/>
              </w:rPr>
              <w:t>şi a modului în care activitatea acestor organizaţii este legată de obiectul proiectului de act normativ</w:t>
            </w:r>
          </w:p>
          <w:p w:rsidR="00FF201D" w:rsidRPr="00323009" w:rsidRDefault="00FF201D" w:rsidP="002679A3">
            <w:pPr>
              <w:adjustRightInd w:val="0"/>
              <w:snapToGrid w:val="0"/>
              <w:spacing w:line="276" w:lineRule="auto"/>
              <w:jc w:val="both"/>
              <w:rPr>
                <w:b/>
                <w:bCs/>
                <w:lang w:eastAsia="en-US"/>
              </w:rPr>
            </w:pPr>
            <w:r w:rsidRPr="00323009">
              <w:rPr>
                <w:bCs/>
              </w:rPr>
              <w:t>Nu este cazul.</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bCs/>
              </w:rPr>
            </w:pPr>
            <w:r w:rsidRPr="00323009">
              <w:rPr>
                <w:b/>
              </w:rPr>
              <w:t xml:space="preserve">3. Consultările organizate cu autorităţile </w:t>
            </w:r>
            <w:r w:rsidRPr="00323009">
              <w:rPr>
                <w:b/>
                <w:bCs/>
              </w:rPr>
              <w:t xml:space="preserve">administraţiei </w:t>
            </w:r>
            <w:r w:rsidRPr="00323009">
              <w:rPr>
                <w:b/>
              </w:rPr>
              <w:t xml:space="preserve">publice locale, în situaţia în care proiectul de act normativ are ca obiect activităţi ale acestor autorităţi, în condiţiile Hotărârii Guvernului nr. 521/2005 </w:t>
            </w:r>
            <w:r w:rsidRPr="00323009">
              <w:rPr>
                <w:b/>
                <w:bCs/>
              </w:rPr>
              <w:t>privind procedura de consultare a structurilor asociative ale autorităţilor administraţiei publice locale la elaborarea proiectelor de acte normative</w:t>
            </w:r>
            <w:r w:rsidRPr="00323009">
              <w:rPr>
                <w:bCs/>
              </w:rPr>
              <w:t xml:space="preserve"> </w:t>
            </w:r>
          </w:p>
          <w:p w:rsidR="00FF201D" w:rsidRPr="00323009" w:rsidRDefault="00FF201D" w:rsidP="002679A3">
            <w:pPr>
              <w:adjustRightInd w:val="0"/>
              <w:snapToGrid w:val="0"/>
              <w:spacing w:line="276" w:lineRule="auto"/>
              <w:jc w:val="both"/>
              <w:rPr>
                <w:bCs/>
              </w:rPr>
            </w:pPr>
            <w:r w:rsidRPr="00323009">
              <w:rPr>
                <w:bCs/>
              </w:rPr>
              <w:t>Nu este cazul.</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djustRightInd w:val="0"/>
              <w:snapToGrid w:val="0"/>
              <w:spacing w:line="276" w:lineRule="auto"/>
              <w:jc w:val="both"/>
              <w:rPr>
                <w:b/>
                <w:lang w:eastAsia="en-US"/>
              </w:rPr>
            </w:pPr>
            <w:r w:rsidRPr="00323009">
              <w:rPr>
                <w:b/>
              </w:rPr>
              <w:t>4. Consultările desfăşurate în cadrul consiliilor interministeriale, în conformitate cu prevederile Hotărârii Guvernului nr.750/2005 privind constituirea consiliilor interministeriale permanente</w:t>
            </w:r>
          </w:p>
          <w:p w:rsidR="0018755A" w:rsidRPr="00323009" w:rsidRDefault="009348D7" w:rsidP="002679A3">
            <w:pPr>
              <w:adjustRightInd w:val="0"/>
              <w:snapToGrid w:val="0"/>
              <w:spacing w:line="276" w:lineRule="auto"/>
              <w:jc w:val="both"/>
              <w:rPr>
                <w:lang w:eastAsia="en-US"/>
              </w:rPr>
            </w:pPr>
            <w:r w:rsidRPr="00323009">
              <w:rPr>
                <w:bCs/>
              </w:rPr>
              <w:t>Nu este cazul.</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2679A3">
            <w:pPr>
              <w:autoSpaceDE w:val="0"/>
              <w:autoSpaceDN w:val="0"/>
              <w:adjustRightInd w:val="0"/>
              <w:snapToGrid w:val="0"/>
              <w:spacing w:line="276" w:lineRule="auto"/>
              <w:jc w:val="both"/>
              <w:rPr>
                <w:b/>
                <w:lang w:eastAsia="en-US"/>
              </w:rPr>
            </w:pPr>
            <w:r w:rsidRPr="00323009">
              <w:rPr>
                <w:b/>
              </w:rPr>
              <w:t>5.</w:t>
            </w:r>
            <w:r w:rsidRPr="00323009">
              <w:rPr>
                <w:b/>
                <w:bCs/>
              </w:rPr>
              <w:t xml:space="preserve"> Informaţii privind avizarea de către</w:t>
            </w:r>
            <w:r w:rsidRPr="00323009">
              <w:rPr>
                <w:b/>
              </w:rPr>
              <w:t>:</w:t>
            </w:r>
          </w:p>
          <w:p w:rsidR="0018755A" w:rsidRPr="00323009" w:rsidRDefault="0018755A" w:rsidP="002679A3">
            <w:pPr>
              <w:tabs>
                <w:tab w:val="left" w:pos="6195"/>
              </w:tabs>
              <w:autoSpaceDE w:val="0"/>
              <w:autoSpaceDN w:val="0"/>
              <w:adjustRightInd w:val="0"/>
              <w:snapToGrid w:val="0"/>
              <w:spacing w:line="276" w:lineRule="auto"/>
              <w:jc w:val="both"/>
              <w:rPr>
                <w:b/>
                <w:lang w:eastAsia="en-US"/>
              </w:rPr>
            </w:pPr>
            <w:r w:rsidRPr="00323009">
              <w:rPr>
                <w:b/>
              </w:rPr>
              <w:t>a) Consiliul Legislativ</w:t>
            </w:r>
            <w:r w:rsidRPr="00323009">
              <w:rPr>
                <w:b/>
              </w:rPr>
              <w:tab/>
            </w:r>
          </w:p>
          <w:p w:rsidR="0018755A" w:rsidRPr="00323009" w:rsidRDefault="0018755A" w:rsidP="002679A3">
            <w:pPr>
              <w:autoSpaceDE w:val="0"/>
              <w:autoSpaceDN w:val="0"/>
              <w:adjustRightInd w:val="0"/>
              <w:snapToGrid w:val="0"/>
              <w:spacing w:line="276" w:lineRule="auto"/>
              <w:jc w:val="both"/>
              <w:rPr>
                <w:b/>
                <w:lang w:eastAsia="en-US"/>
              </w:rPr>
            </w:pPr>
            <w:r w:rsidRPr="00323009">
              <w:rPr>
                <w:b/>
              </w:rPr>
              <w:t>b) Consiliul Suprem de Apărare a Ţării</w:t>
            </w:r>
          </w:p>
          <w:p w:rsidR="0018755A" w:rsidRPr="00323009" w:rsidRDefault="0018755A" w:rsidP="002679A3">
            <w:pPr>
              <w:autoSpaceDE w:val="0"/>
              <w:autoSpaceDN w:val="0"/>
              <w:adjustRightInd w:val="0"/>
              <w:snapToGrid w:val="0"/>
              <w:spacing w:line="276" w:lineRule="auto"/>
              <w:jc w:val="both"/>
              <w:rPr>
                <w:b/>
                <w:lang w:eastAsia="en-US"/>
              </w:rPr>
            </w:pPr>
            <w:r w:rsidRPr="00323009">
              <w:rPr>
                <w:b/>
              </w:rPr>
              <w:t>c) Consiliul Economic şi Social</w:t>
            </w:r>
          </w:p>
          <w:p w:rsidR="0018755A" w:rsidRPr="00323009" w:rsidRDefault="0018755A" w:rsidP="002679A3">
            <w:pPr>
              <w:autoSpaceDE w:val="0"/>
              <w:autoSpaceDN w:val="0"/>
              <w:adjustRightInd w:val="0"/>
              <w:snapToGrid w:val="0"/>
              <w:spacing w:line="276" w:lineRule="auto"/>
              <w:jc w:val="both"/>
              <w:rPr>
                <w:b/>
                <w:lang w:eastAsia="en-US"/>
              </w:rPr>
            </w:pPr>
            <w:r w:rsidRPr="00323009">
              <w:rPr>
                <w:b/>
              </w:rPr>
              <w:t xml:space="preserve">d) Consiliul Concurenţei </w:t>
            </w:r>
          </w:p>
          <w:p w:rsidR="0018755A" w:rsidRPr="00323009" w:rsidRDefault="0018755A" w:rsidP="002679A3">
            <w:pPr>
              <w:adjustRightInd w:val="0"/>
              <w:snapToGrid w:val="0"/>
              <w:spacing w:line="276" w:lineRule="auto"/>
              <w:jc w:val="both"/>
              <w:rPr>
                <w:b/>
                <w:lang w:eastAsia="en-US"/>
              </w:rPr>
            </w:pPr>
            <w:r w:rsidRPr="00323009">
              <w:rPr>
                <w:b/>
              </w:rPr>
              <w:t>e) Curtea de Conturi</w:t>
            </w:r>
          </w:p>
          <w:p w:rsidR="0018755A" w:rsidRPr="00323009" w:rsidRDefault="0018755A" w:rsidP="002679A3">
            <w:pPr>
              <w:pStyle w:val="BodyText2"/>
              <w:overflowPunct/>
              <w:autoSpaceDE/>
              <w:snapToGrid w:val="0"/>
              <w:spacing w:line="276" w:lineRule="auto"/>
              <w:rPr>
                <w:sz w:val="24"/>
                <w:szCs w:val="24"/>
              </w:rPr>
            </w:pPr>
            <w:r w:rsidRPr="00323009">
              <w:rPr>
                <w:sz w:val="24"/>
                <w:szCs w:val="24"/>
              </w:rPr>
              <w:t>Proiectul de act normativ va fi supus avizării Consiliului Legislativ</w:t>
            </w:r>
            <w:r w:rsidR="000E6517" w:rsidRPr="00323009">
              <w:rPr>
                <w:sz w:val="24"/>
                <w:szCs w:val="24"/>
              </w:rPr>
              <w:t xml:space="preserve"> și </w:t>
            </w:r>
            <w:r w:rsidRPr="00323009">
              <w:rPr>
                <w:sz w:val="24"/>
                <w:szCs w:val="24"/>
              </w:rPr>
              <w:t>Consiliului Economic şi Social</w:t>
            </w:r>
            <w:r w:rsidR="00BE12B0" w:rsidRPr="00323009">
              <w:rPr>
                <w:sz w:val="24"/>
                <w:szCs w:val="24"/>
              </w:rPr>
              <w:t>.</w:t>
            </w:r>
          </w:p>
        </w:tc>
      </w:tr>
      <w:tr w:rsidR="00323009" w:rsidRPr="00323009" w:rsidTr="00167C09">
        <w:trPr>
          <w:trHeight w:val="572"/>
        </w:trPr>
        <w:tc>
          <w:tcPr>
            <w:tcW w:w="10348" w:type="dxa"/>
            <w:gridSpan w:val="7"/>
            <w:tcBorders>
              <w:top w:val="single" w:sz="4" w:space="0" w:color="auto"/>
              <w:left w:val="single" w:sz="4" w:space="0" w:color="auto"/>
              <w:bottom w:val="single" w:sz="4" w:space="0" w:color="auto"/>
              <w:right w:val="single" w:sz="4" w:space="0" w:color="auto"/>
            </w:tcBorders>
          </w:tcPr>
          <w:p w:rsidR="00D74A8F" w:rsidRPr="00323009" w:rsidRDefault="0018755A" w:rsidP="00167C09">
            <w:pPr>
              <w:pStyle w:val="ListParagraph"/>
              <w:numPr>
                <w:ilvl w:val="0"/>
                <w:numId w:val="17"/>
              </w:numPr>
              <w:tabs>
                <w:tab w:val="left" w:pos="142"/>
                <w:tab w:val="left" w:pos="284"/>
              </w:tabs>
              <w:adjustRightInd w:val="0"/>
              <w:snapToGrid w:val="0"/>
              <w:spacing w:line="240" w:lineRule="auto"/>
              <w:ind w:left="142" w:hanging="142"/>
              <w:jc w:val="both"/>
              <w:rPr>
                <w:rFonts w:ascii="Times New Roman" w:hAnsi="Times New Roman"/>
                <w:b/>
                <w:sz w:val="24"/>
                <w:szCs w:val="24"/>
              </w:rPr>
            </w:pPr>
            <w:proofErr w:type="spellStart"/>
            <w:r w:rsidRPr="00323009">
              <w:rPr>
                <w:rFonts w:ascii="Times New Roman" w:hAnsi="Times New Roman"/>
                <w:b/>
                <w:sz w:val="24"/>
                <w:szCs w:val="24"/>
              </w:rPr>
              <w:t>Alte</w:t>
            </w:r>
            <w:proofErr w:type="spellEnd"/>
            <w:r w:rsidRPr="00323009">
              <w:rPr>
                <w:rFonts w:ascii="Times New Roman" w:hAnsi="Times New Roman"/>
                <w:b/>
                <w:sz w:val="24"/>
                <w:szCs w:val="24"/>
              </w:rPr>
              <w:t xml:space="preserve"> </w:t>
            </w:r>
            <w:proofErr w:type="spellStart"/>
            <w:r w:rsidRPr="00323009">
              <w:rPr>
                <w:rFonts w:ascii="Times New Roman" w:hAnsi="Times New Roman"/>
                <w:b/>
                <w:sz w:val="24"/>
                <w:szCs w:val="24"/>
              </w:rPr>
              <w:t>informaţii</w:t>
            </w:r>
            <w:proofErr w:type="spellEnd"/>
            <w:r w:rsidR="000F3BDC" w:rsidRPr="00323009">
              <w:rPr>
                <w:rFonts w:ascii="Times New Roman" w:hAnsi="Times New Roman"/>
                <w:b/>
                <w:sz w:val="24"/>
                <w:szCs w:val="24"/>
              </w:rPr>
              <w:t>.</w:t>
            </w:r>
            <w:r w:rsidRPr="00323009">
              <w:rPr>
                <w:rFonts w:ascii="Times New Roman" w:hAnsi="Times New Roman"/>
                <w:b/>
                <w:sz w:val="24"/>
                <w:szCs w:val="24"/>
              </w:rPr>
              <w:t xml:space="preserve"> </w:t>
            </w:r>
          </w:p>
          <w:p w:rsidR="0018755A" w:rsidRPr="00323009" w:rsidRDefault="0018755A" w:rsidP="00167C09">
            <w:pPr>
              <w:pStyle w:val="ListParagraph"/>
              <w:adjustRightInd w:val="0"/>
              <w:snapToGrid w:val="0"/>
              <w:spacing w:after="0" w:line="240" w:lineRule="auto"/>
              <w:ind w:left="284"/>
              <w:jc w:val="both"/>
              <w:rPr>
                <w:rFonts w:ascii="Times New Roman" w:hAnsi="Times New Roman"/>
                <w:sz w:val="24"/>
                <w:szCs w:val="24"/>
              </w:rPr>
            </w:pPr>
            <w:r w:rsidRPr="00323009">
              <w:rPr>
                <w:rFonts w:ascii="Times New Roman" w:hAnsi="Times New Roman"/>
                <w:bCs/>
                <w:sz w:val="24"/>
                <w:szCs w:val="24"/>
              </w:rPr>
              <w:t xml:space="preserve">Nu </w:t>
            </w:r>
            <w:proofErr w:type="spellStart"/>
            <w:r w:rsidRPr="00323009">
              <w:rPr>
                <w:rFonts w:ascii="Times New Roman" w:hAnsi="Times New Roman"/>
                <w:bCs/>
                <w:sz w:val="24"/>
                <w:szCs w:val="24"/>
              </w:rPr>
              <w:t>este</w:t>
            </w:r>
            <w:proofErr w:type="spellEnd"/>
            <w:r w:rsidRPr="00323009">
              <w:rPr>
                <w:rFonts w:ascii="Times New Roman" w:hAnsi="Times New Roman"/>
                <w:bCs/>
                <w:sz w:val="24"/>
                <w:szCs w:val="24"/>
              </w:rPr>
              <w:t xml:space="preserve"> </w:t>
            </w:r>
            <w:proofErr w:type="spellStart"/>
            <w:r w:rsidRPr="00323009">
              <w:rPr>
                <w:rFonts w:ascii="Times New Roman" w:hAnsi="Times New Roman"/>
                <w:bCs/>
                <w:sz w:val="24"/>
                <w:szCs w:val="24"/>
              </w:rPr>
              <w:t>cazul</w:t>
            </w:r>
            <w:proofErr w:type="spellEnd"/>
            <w:r w:rsidRPr="00323009">
              <w:rPr>
                <w:rFonts w:ascii="Times New Roman" w:hAnsi="Times New Roman"/>
                <w:bCs/>
                <w:sz w:val="24"/>
                <w:szCs w:val="24"/>
              </w:rPr>
              <w: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F22FEF" w:rsidRPr="00323009" w:rsidRDefault="0018755A" w:rsidP="002679A3">
            <w:pPr>
              <w:adjustRightInd w:val="0"/>
              <w:snapToGrid w:val="0"/>
              <w:spacing w:line="276" w:lineRule="auto"/>
              <w:jc w:val="center"/>
              <w:rPr>
                <w:b/>
              </w:rPr>
            </w:pPr>
            <w:r w:rsidRPr="00323009">
              <w:rPr>
                <w:b/>
              </w:rPr>
              <w:t>Secţiunea a 7-a</w:t>
            </w:r>
          </w:p>
          <w:p w:rsidR="0018755A" w:rsidRPr="00323009" w:rsidRDefault="0018755A" w:rsidP="002679A3">
            <w:pPr>
              <w:adjustRightInd w:val="0"/>
              <w:snapToGrid w:val="0"/>
              <w:spacing w:line="276" w:lineRule="auto"/>
              <w:jc w:val="center"/>
              <w:rPr>
                <w:b/>
                <w:lang w:eastAsia="en-US"/>
              </w:rPr>
            </w:pPr>
            <w:r w:rsidRPr="00323009">
              <w:rPr>
                <w:b/>
              </w:rPr>
              <w:t>Activităţi de informare publică privind elaborarea</w:t>
            </w:r>
          </w:p>
          <w:p w:rsidR="0044539D" w:rsidRPr="00323009" w:rsidRDefault="0018755A" w:rsidP="002679A3">
            <w:pPr>
              <w:adjustRightInd w:val="0"/>
              <w:snapToGrid w:val="0"/>
              <w:spacing w:line="276" w:lineRule="auto"/>
              <w:jc w:val="center"/>
              <w:rPr>
                <w:b/>
              </w:rPr>
            </w:pPr>
            <w:r w:rsidRPr="00323009">
              <w:rPr>
                <w:b/>
              </w:rPr>
              <w:t>şi implementarea proiectului de act normativ</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5A5600">
            <w:pPr>
              <w:adjustRightInd w:val="0"/>
              <w:snapToGrid w:val="0"/>
              <w:jc w:val="both"/>
              <w:rPr>
                <w:b/>
                <w:lang w:eastAsia="en-US"/>
              </w:rPr>
            </w:pPr>
            <w:r w:rsidRPr="00323009">
              <w:rPr>
                <w:b/>
              </w:rPr>
              <w:t>1. Informarea societăţii civile cu privire la necesitatea elaborării proiectului de act normativ</w:t>
            </w:r>
          </w:p>
          <w:p w:rsidR="005C39D6" w:rsidRPr="00323009" w:rsidRDefault="005C39D6" w:rsidP="005A5600">
            <w:pPr>
              <w:adjustRightInd w:val="0"/>
              <w:snapToGrid w:val="0"/>
              <w:jc w:val="both"/>
              <w:rPr>
                <w:bCs/>
              </w:rPr>
            </w:pPr>
            <w:r w:rsidRPr="00323009">
              <w:rPr>
                <w:bCs/>
              </w:rPr>
              <w:t>În procesul de elaborare a prezentului proiect de act normativ,  au fost</w:t>
            </w:r>
            <w:r w:rsidR="0018755A" w:rsidRPr="00323009">
              <w:rPr>
                <w:bCs/>
              </w:rPr>
              <w:t xml:space="preserve"> respectate </w:t>
            </w:r>
            <w:r w:rsidRPr="00323009">
              <w:rPr>
                <w:bCs/>
              </w:rPr>
              <w:t xml:space="preserve">regulile procedurale pentru asigurarea transparenței decizionale prevăzute de </w:t>
            </w:r>
            <w:r w:rsidR="0018755A" w:rsidRPr="00323009">
              <w:rPr>
                <w:bCs/>
              </w:rPr>
              <w:t>Leg</w:t>
            </w:r>
            <w:r w:rsidRPr="00323009">
              <w:rPr>
                <w:bCs/>
              </w:rPr>
              <w:t>ea</w:t>
            </w:r>
            <w:r w:rsidR="0018755A" w:rsidRPr="00323009">
              <w:rPr>
                <w:bCs/>
              </w:rPr>
              <w:t xml:space="preserve"> nr. 52/2003 privind transparenţa decizională în administraţie publică, republicată</w:t>
            </w:r>
            <w:r w:rsidR="0044539D" w:rsidRPr="00323009">
              <w:rPr>
                <w:bCs/>
              </w:rPr>
              <w:t>.</w:t>
            </w:r>
            <w:r w:rsidR="00625731" w:rsidRPr="00323009">
              <w:rPr>
                <w:bCs/>
              </w:rPr>
              <w:t xml:space="preserve"> </w:t>
            </w:r>
            <w:r w:rsidR="00EC0E77" w:rsidRPr="00323009">
              <w:rPr>
                <w:bCs/>
              </w:rPr>
              <w:t>Astfel, p</w:t>
            </w:r>
            <w:r w:rsidR="00D074D0" w:rsidRPr="00323009">
              <w:rPr>
                <w:bCs/>
              </w:rPr>
              <w:t>roiectul de act normativ a fost  publica</w:t>
            </w:r>
            <w:r w:rsidR="00EC0E77" w:rsidRPr="00323009">
              <w:rPr>
                <w:bCs/>
              </w:rPr>
              <w:t>t</w:t>
            </w:r>
            <w:r w:rsidR="00D074D0" w:rsidRPr="00323009">
              <w:rPr>
                <w:bCs/>
              </w:rPr>
              <w:t xml:space="preserve"> pe pagina de internet a MMJS în perioada 22.02</w:t>
            </w:r>
            <w:r w:rsidR="00617E2A" w:rsidRPr="00323009">
              <w:rPr>
                <w:bCs/>
              </w:rPr>
              <w:t xml:space="preserve"> </w:t>
            </w:r>
            <w:r w:rsidR="00D074D0" w:rsidRPr="00323009">
              <w:rPr>
                <w:bCs/>
              </w:rPr>
              <w:t>-</w:t>
            </w:r>
            <w:r w:rsidR="00617E2A" w:rsidRPr="00323009">
              <w:rPr>
                <w:bCs/>
              </w:rPr>
              <w:t xml:space="preserve"> </w:t>
            </w:r>
            <w:r w:rsidR="00D074D0" w:rsidRPr="00323009">
              <w:rPr>
                <w:bCs/>
              </w:rPr>
              <w:t>04.04.2019</w:t>
            </w:r>
            <w:r w:rsidR="0078052A" w:rsidRPr="00323009">
              <w:rPr>
                <w:bCs/>
              </w:rPr>
              <w:t>.</w:t>
            </w:r>
          </w:p>
          <w:p w:rsidR="00E97A30" w:rsidRPr="00536711" w:rsidRDefault="005C39D6" w:rsidP="00E97A30">
            <w:pPr>
              <w:adjustRightInd w:val="0"/>
              <w:snapToGrid w:val="0"/>
              <w:jc w:val="both"/>
              <w:rPr>
                <w:rFonts w:cs="Arial"/>
                <w:sz w:val="23"/>
                <w:szCs w:val="23"/>
              </w:rPr>
            </w:pPr>
            <w:r w:rsidRPr="00323009">
              <w:rPr>
                <w:bCs/>
              </w:rPr>
              <w:t xml:space="preserve">Au fost întreprinse demersurile legale prevăzute de art. 7 alin.(2) din Regulamentul privind procedurile, la nivelul Guvernului, pentru elaborarea, avizarea şi prezentarea proiectelor de documente de politici publice, a proiectelor de acte normative, precum şi a altor documente, în vederea adoptării/aprobării, aprobat prin </w:t>
            </w:r>
            <w:r w:rsidR="001D7640" w:rsidRPr="00323009">
              <w:rPr>
                <w:bCs/>
              </w:rPr>
              <w:t>Hotărârea Guvernului n</w:t>
            </w:r>
            <w:r w:rsidRPr="00323009">
              <w:rPr>
                <w:bCs/>
              </w:rPr>
              <w:t>r. 561</w:t>
            </w:r>
            <w:r w:rsidR="001D7640" w:rsidRPr="00323009">
              <w:rPr>
                <w:bCs/>
              </w:rPr>
              <w:t>/</w:t>
            </w:r>
            <w:r w:rsidRPr="00323009">
              <w:rPr>
                <w:bCs/>
              </w:rPr>
              <w:t>2009</w:t>
            </w:r>
            <w:r w:rsidR="0059498C" w:rsidRPr="00323009">
              <w:rPr>
                <w:bCs/>
              </w:rPr>
              <w:t>.</w:t>
            </w:r>
          </w:p>
          <w:p w:rsidR="00E97A30" w:rsidRPr="00323009" w:rsidRDefault="00E97A30" w:rsidP="00E97A30">
            <w:pPr>
              <w:adjustRightInd w:val="0"/>
              <w:snapToGrid w:val="0"/>
              <w:jc w:val="both"/>
              <w:rPr>
                <w:bCs/>
              </w:rPr>
            </w:pPr>
            <w:r w:rsidRPr="00536711">
              <w:rPr>
                <w:rFonts w:cs="Arial"/>
                <w:sz w:val="23"/>
                <w:szCs w:val="23"/>
              </w:rPr>
              <w:t>Proiectul a fost dezbătut în ședința Comisiei</w:t>
            </w:r>
            <w:r>
              <w:rPr>
                <w:rFonts w:cs="Arial"/>
                <w:sz w:val="23"/>
                <w:szCs w:val="23"/>
              </w:rPr>
              <w:t xml:space="preserve"> de dialog social din data de 06</w:t>
            </w:r>
            <w:r w:rsidRPr="00536711">
              <w:rPr>
                <w:rFonts w:cs="Arial"/>
                <w:sz w:val="23"/>
                <w:szCs w:val="23"/>
              </w:rPr>
              <w:t>.0</w:t>
            </w:r>
            <w:r>
              <w:rPr>
                <w:rFonts w:cs="Arial"/>
                <w:sz w:val="23"/>
                <w:szCs w:val="23"/>
              </w:rPr>
              <w:t>3</w:t>
            </w:r>
            <w:r w:rsidRPr="00536711">
              <w:rPr>
                <w:rFonts w:cs="Arial"/>
                <w:sz w:val="23"/>
                <w:szCs w:val="23"/>
              </w:rPr>
              <w:t>.2019.</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55A" w:rsidRPr="00323009" w:rsidRDefault="0018755A" w:rsidP="005A5600">
            <w:pPr>
              <w:adjustRightInd w:val="0"/>
              <w:snapToGrid w:val="0"/>
              <w:jc w:val="both"/>
              <w:rPr>
                <w:b/>
                <w:lang w:eastAsia="en-US"/>
              </w:rPr>
            </w:pPr>
            <w:r w:rsidRPr="00323009">
              <w:rPr>
                <w:b/>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18755A" w:rsidRPr="00323009" w:rsidRDefault="0018755A" w:rsidP="005A5600">
            <w:pPr>
              <w:adjustRightInd w:val="0"/>
              <w:snapToGrid w:val="0"/>
              <w:jc w:val="both"/>
              <w:rPr>
                <w:lang w:eastAsia="en-US"/>
              </w:rPr>
            </w:pPr>
            <w:r w:rsidRPr="00323009">
              <w:t>Proiectul de act normativ nu se referă la acest subiect.</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0E6517" w:rsidRPr="00323009" w:rsidRDefault="0018755A" w:rsidP="005A5600">
            <w:pPr>
              <w:adjustRightInd w:val="0"/>
              <w:snapToGrid w:val="0"/>
              <w:jc w:val="both"/>
              <w:rPr>
                <w:b/>
              </w:rPr>
            </w:pPr>
            <w:r w:rsidRPr="00323009">
              <w:rPr>
                <w:b/>
              </w:rPr>
              <w:t>3. Alte informaţii.</w:t>
            </w:r>
          </w:p>
          <w:p w:rsidR="0018755A" w:rsidRPr="00323009" w:rsidRDefault="0018755A" w:rsidP="005A5600">
            <w:pPr>
              <w:adjustRightInd w:val="0"/>
              <w:snapToGrid w:val="0"/>
              <w:jc w:val="both"/>
              <w:rPr>
                <w:b/>
                <w:lang w:eastAsia="en-US"/>
              </w:rPr>
            </w:pPr>
            <w:r w:rsidRPr="00323009">
              <w:rPr>
                <w:b/>
              </w:rPr>
              <w:t xml:space="preserve"> </w:t>
            </w:r>
            <w:r w:rsidRPr="00323009">
              <w:rPr>
                <w:bCs/>
              </w:rPr>
              <w:t>Nu este cazul.</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DF0705" w:rsidRPr="00323009" w:rsidRDefault="0018755A" w:rsidP="005A5600">
            <w:pPr>
              <w:adjustRightInd w:val="0"/>
              <w:snapToGrid w:val="0"/>
              <w:jc w:val="center"/>
              <w:rPr>
                <w:b/>
              </w:rPr>
            </w:pPr>
            <w:r w:rsidRPr="00323009">
              <w:rPr>
                <w:b/>
              </w:rPr>
              <w:t>Secţiunea a 8-a</w:t>
            </w:r>
          </w:p>
          <w:p w:rsidR="0044539D" w:rsidRPr="00323009" w:rsidRDefault="0018755A" w:rsidP="005A5600">
            <w:pPr>
              <w:adjustRightInd w:val="0"/>
              <w:snapToGrid w:val="0"/>
              <w:jc w:val="center"/>
              <w:rPr>
                <w:b/>
                <w:bCs/>
              </w:rPr>
            </w:pPr>
            <w:r w:rsidRPr="00323009">
              <w:rPr>
                <w:b/>
                <w:bCs/>
              </w:rPr>
              <w:t>Măsuri de implementare</w:t>
            </w:r>
          </w:p>
        </w:tc>
      </w:tr>
      <w:tr w:rsidR="00323009"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187806" w:rsidRPr="00323009" w:rsidRDefault="0018755A" w:rsidP="002679A3">
            <w:pPr>
              <w:adjustRightInd w:val="0"/>
              <w:snapToGrid w:val="0"/>
              <w:spacing w:line="276" w:lineRule="auto"/>
              <w:jc w:val="both"/>
            </w:pPr>
            <w:r w:rsidRPr="00323009">
              <w:rPr>
                <w:b/>
              </w:rPr>
              <w:t>1.</w:t>
            </w:r>
            <w:r w:rsidR="002134CC" w:rsidRPr="00323009">
              <w:rPr>
                <w:b/>
              </w:rPr>
              <w:t xml:space="preserve"> </w:t>
            </w:r>
            <w:r w:rsidRPr="00323009">
              <w:t>Măsurile de punere în aplicare a proiectului de act normativ de către autorităţile administraţiei publice centrale şi/sau locale - înfiinţarea unor noi organisme sau extinderea competenţelor instituţiilor existente</w:t>
            </w:r>
          </w:p>
          <w:p w:rsidR="00C545AD" w:rsidRPr="00323009" w:rsidRDefault="00C545AD" w:rsidP="002679A3">
            <w:pPr>
              <w:adjustRightInd w:val="0"/>
              <w:snapToGrid w:val="0"/>
              <w:spacing w:line="276" w:lineRule="auto"/>
              <w:jc w:val="both"/>
              <w:rPr>
                <w:b/>
              </w:rPr>
            </w:pPr>
            <w:r w:rsidRPr="00323009">
              <w:t>Proiectul de act normativ nu se referă la acest subiect.</w:t>
            </w:r>
          </w:p>
        </w:tc>
      </w:tr>
      <w:tr w:rsidR="0018755A" w:rsidRPr="00323009" w:rsidTr="000B3FE7">
        <w:tc>
          <w:tcPr>
            <w:tcW w:w="10348" w:type="dxa"/>
            <w:gridSpan w:val="7"/>
            <w:tcBorders>
              <w:top w:val="single" w:sz="4" w:space="0" w:color="auto"/>
              <w:left w:val="single" w:sz="4" w:space="0" w:color="auto"/>
              <w:bottom w:val="single" w:sz="4" w:space="0" w:color="auto"/>
              <w:right w:val="single" w:sz="4" w:space="0" w:color="auto"/>
            </w:tcBorders>
          </w:tcPr>
          <w:p w:rsidR="000E6517" w:rsidRPr="00323009" w:rsidRDefault="00EE6D54" w:rsidP="002679A3">
            <w:pPr>
              <w:adjustRightInd w:val="0"/>
              <w:snapToGrid w:val="0"/>
              <w:spacing w:line="276" w:lineRule="auto"/>
              <w:jc w:val="both"/>
              <w:rPr>
                <w:bCs/>
              </w:rPr>
            </w:pPr>
            <w:r w:rsidRPr="00323009">
              <w:rPr>
                <w:b/>
              </w:rPr>
              <w:t>2.</w:t>
            </w:r>
            <w:r w:rsidR="0018755A" w:rsidRPr="00323009">
              <w:rPr>
                <w:b/>
              </w:rPr>
              <w:t>Alte informaţii</w:t>
            </w:r>
            <w:r w:rsidR="000E6517" w:rsidRPr="00323009">
              <w:rPr>
                <w:b/>
              </w:rPr>
              <w:t>.</w:t>
            </w:r>
          </w:p>
          <w:p w:rsidR="00187806" w:rsidRPr="00323009" w:rsidRDefault="0018755A" w:rsidP="005A5600">
            <w:pPr>
              <w:adjustRightInd w:val="0"/>
              <w:snapToGrid w:val="0"/>
              <w:spacing w:line="276" w:lineRule="auto"/>
              <w:ind w:left="180"/>
              <w:jc w:val="both"/>
              <w:rPr>
                <w:bCs/>
              </w:rPr>
            </w:pPr>
            <w:r w:rsidRPr="00323009">
              <w:rPr>
                <w:bCs/>
              </w:rPr>
              <w:t>Nu este cazul</w:t>
            </w:r>
          </w:p>
        </w:tc>
      </w:tr>
    </w:tbl>
    <w:p w:rsidR="006F0784" w:rsidRPr="00323009" w:rsidRDefault="006F0784" w:rsidP="002679A3">
      <w:pPr>
        <w:spacing w:line="276" w:lineRule="auto"/>
      </w:pPr>
    </w:p>
    <w:p w:rsidR="003B75E3" w:rsidRPr="00323009" w:rsidRDefault="003B75E3" w:rsidP="004A411D">
      <w:pPr>
        <w:spacing w:line="276" w:lineRule="auto"/>
        <w:jc w:val="both"/>
      </w:pPr>
    </w:p>
    <w:p w:rsidR="00951863" w:rsidRPr="00323009" w:rsidRDefault="002134CC" w:rsidP="004A411D">
      <w:pPr>
        <w:spacing w:line="276" w:lineRule="auto"/>
        <w:jc w:val="both"/>
        <w:rPr>
          <w:bCs/>
        </w:rPr>
      </w:pPr>
      <w:r w:rsidRPr="00323009">
        <w:t>Faţă de cele prezentate, supunem aprobării Guvernul</w:t>
      </w:r>
      <w:r w:rsidR="00321BB6" w:rsidRPr="00323009">
        <w:t>ui prezentul proiect de hotărâre</w:t>
      </w:r>
      <w:r w:rsidRPr="00323009">
        <w:rPr>
          <w:bCs/>
        </w:rPr>
        <w:t xml:space="preserve"> </w:t>
      </w:r>
      <w:r w:rsidR="00852127" w:rsidRPr="00323009">
        <w:rPr>
          <w:bCs/>
        </w:rPr>
        <w:t xml:space="preserve">pentru  modificarea și completarea </w:t>
      </w:r>
      <w:r w:rsidR="00614F78" w:rsidRPr="00323009">
        <w:rPr>
          <w:bCs/>
        </w:rPr>
        <w:t>Hotărârii</w:t>
      </w:r>
      <w:r w:rsidR="003B75E3" w:rsidRPr="00323009">
        <w:rPr>
          <w:bCs/>
        </w:rPr>
        <w:t xml:space="preserve"> </w:t>
      </w:r>
      <w:r w:rsidR="00614F78" w:rsidRPr="00323009">
        <w:rPr>
          <w:bCs/>
        </w:rPr>
        <w:t xml:space="preserve">Guvernului nr. 855/2013 pentru aprobarea </w:t>
      </w:r>
      <w:r w:rsidR="004A411D" w:rsidRPr="00323009">
        <w:rPr>
          <w:bCs/>
        </w:rPr>
        <w:t>Normelor metodologice de aplicare a prevederilor Legii nr. 279/2005 privind ucenicia la locul de muncă</w:t>
      </w:r>
      <w:r w:rsidR="003B75E3" w:rsidRPr="00323009">
        <w:rPr>
          <w:bCs/>
        </w:rPr>
        <w:t>.</w:t>
      </w:r>
      <w:r w:rsidR="004A411D" w:rsidRPr="00323009">
        <w:rPr>
          <w:bCs/>
        </w:rPr>
        <w:t xml:space="preserve"> </w:t>
      </w:r>
    </w:p>
    <w:p w:rsidR="002A49EF" w:rsidRPr="00323009" w:rsidRDefault="002A49EF" w:rsidP="002679A3">
      <w:pPr>
        <w:adjustRightInd w:val="0"/>
        <w:snapToGrid w:val="0"/>
        <w:spacing w:line="276" w:lineRule="auto"/>
        <w:jc w:val="both"/>
        <w:rPr>
          <w:b/>
          <w:bCs/>
        </w:rPr>
      </w:pPr>
    </w:p>
    <w:p w:rsidR="002A49EF" w:rsidRPr="00323009" w:rsidRDefault="002A49EF" w:rsidP="002679A3">
      <w:pPr>
        <w:adjustRightInd w:val="0"/>
        <w:snapToGrid w:val="0"/>
        <w:spacing w:line="276" w:lineRule="auto"/>
        <w:jc w:val="both"/>
        <w:rPr>
          <w:b/>
          <w:bCs/>
        </w:rPr>
      </w:pPr>
    </w:p>
    <w:tbl>
      <w:tblPr>
        <w:tblW w:w="10360" w:type="dxa"/>
        <w:tblLook w:val="01E0" w:firstRow="1" w:lastRow="1" w:firstColumn="1" w:lastColumn="1" w:noHBand="0" w:noVBand="0"/>
      </w:tblPr>
      <w:tblGrid>
        <w:gridCol w:w="5181"/>
        <w:gridCol w:w="5179"/>
      </w:tblGrid>
      <w:tr w:rsidR="00323009" w:rsidRPr="00323009" w:rsidTr="009348D7">
        <w:tc>
          <w:tcPr>
            <w:tcW w:w="10360" w:type="dxa"/>
            <w:gridSpan w:val="2"/>
          </w:tcPr>
          <w:p w:rsidR="002134CC" w:rsidRPr="00323009" w:rsidRDefault="002134CC" w:rsidP="002679A3">
            <w:pPr>
              <w:adjustRightInd w:val="0"/>
              <w:snapToGrid w:val="0"/>
              <w:spacing w:line="276" w:lineRule="auto"/>
              <w:jc w:val="center"/>
              <w:rPr>
                <w:b/>
                <w:bCs/>
              </w:rPr>
            </w:pPr>
            <w:r w:rsidRPr="00323009">
              <w:rPr>
                <w:b/>
                <w:bCs/>
              </w:rPr>
              <w:t>Ministrul Muncii și Justiției Sociale</w:t>
            </w:r>
          </w:p>
          <w:p w:rsidR="000D4520" w:rsidRPr="00323009" w:rsidRDefault="00A84C95" w:rsidP="002679A3">
            <w:pPr>
              <w:adjustRightInd w:val="0"/>
              <w:snapToGrid w:val="0"/>
              <w:spacing w:line="276" w:lineRule="auto"/>
              <w:jc w:val="center"/>
              <w:rPr>
                <w:b/>
                <w:bCs/>
              </w:rPr>
            </w:pPr>
            <w:r w:rsidRPr="00323009">
              <w:rPr>
                <w:b/>
                <w:bCs/>
              </w:rPr>
              <w:t xml:space="preserve"> </w:t>
            </w:r>
          </w:p>
          <w:p w:rsidR="002134CC" w:rsidRPr="00323009" w:rsidRDefault="00AC4F2B" w:rsidP="002679A3">
            <w:pPr>
              <w:adjustRightInd w:val="0"/>
              <w:snapToGrid w:val="0"/>
              <w:spacing w:line="276" w:lineRule="auto"/>
              <w:jc w:val="center"/>
              <w:rPr>
                <w:b/>
                <w:bCs/>
              </w:rPr>
            </w:pPr>
            <w:r w:rsidRPr="00323009">
              <w:rPr>
                <w:b/>
                <w:bCs/>
              </w:rPr>
              <w:t xml:space="preserve">Marius-Constantin </w:t>
            </w:r>
            <w:r w:rsidR="002C1C17" w:rsidRPr="00323009">
              <w:rPr>
                <w:b/>
                <w:bCs/>
              </w:rPr>
              <w:t>BUDĂI</w:t>
            </w:r>
          </w:p>
          <w:p w:rsidR="000D4520" w:rsidRPr="00323009" w:rsidRDefault="000D4520" w:rsidP="002679A3">
            <w:pPr>
              <w:adjustRightInd w:val="0"/>
              <w:snapToGrid w:val="0"/>
              <w:spacing w:line="276" w:lineRule="auto"/>
              <w:jc w:val="center"/>
              <w:rPr>
                <w:b/>
                <w:bCs/>
              </w:rPr>
            </w:pPr>
          </w:p>
        </w:tc>
      </w:tr>
      <w:tr w:rsidR="00323009" w:rsidRPr="00323009" w:rsidTr="009348D7">
        <w:trPr>
          <w:trHeight w:val="944"/>
        </w:trPr>
        <w:tc>
          <w:tcPr>
            <w:tcW w:w="10360" w:type="dxa"/>
            <w:gridSpan w:val="2"/>
          </w:tcPr>
          <w:p w:rsidR="002134CC" w:rsidRPr="00323009" w:rsidRDefault="002134CC" w:rsidP="002679A3">
            <w:pPr>
              <w:adjustRightInd w:val="0"/>
              <w:snapToGrid w:val="0"/>
              <w:spacing w:line="276" w:lineRule="auto"/>
              <w:ind w:right="135"/>
              <w:rPr>
                <w:b/>
                <w:bCs/>
              </w:rPr>
            </w:pPr>
          </w:p>
          <w:p w:rsidR="002134CC" w:rsidRPr="00323009" w:rsidRDefault="002134CC" w:rsidP="002679A3">
            <w:pPr>
              <w:adjustRightInd w:val="0"/>
              <w:snapToGrid w:val="0"/>
              <w:spacing w:line="276" w:lineRule="auto"/>
              <w:ind w:right="135"/>
              <w:rPr>
                <w:b/>
                <w:bCs/>
                <w:u w:val="single"/>
              </w:rPr>
            </w:pPr>
          </w:p>
          <w:p w:rsidR="002A49EF" w:rsidRPr="00323009" w:rsidRDefault="00DF344C" w:rsidP="002679A3">
            <w:pPr>
              <w:adjustRightInd w:val="0"/>
              <w:snapToGrid w:val="0"/>
              <w:spacing w:line="276" w:lineRule="auto"/>
              <w:ind w:right="135"/>
              <w:rPr>
                <w:b/>
                <w:bCs/>
                <w:u w:val="single"/>
              </w:rPr>
            </w:pPr>
            <w:r w:rsidRPr="00323009">
              <w:rPr>
                <w:b/>
                <w:bCs/>
              </w:rPr>
              <w:t xml:space="preserve">                                                                                    </w:t>
            </w:r>
            <w:r w:rsidR="002134CC" w:rsidRPr="00323009">
              <w:rPr>
                <w:b/>
                <w:bCs/>
                <w:u w:val="single"/>
              </w:rPr>
              <w:t>Avizăm:</w:t>
            </w:r>
          </w:p>
          <w:p w:rsidR="00DF344C" w:rsidRPr="00323009" w:rsidRDefault="00DF344C" w:rsidP="002679A3">
            <w:pPr>
              <w:adjustRightInd w:val="0"/>
              <w:snapToGrid w:val="0"/>
              <w:spacing w:line="276" w:lineRule="auto"/>
              <w:ind w:right="135"/>
              <w:rPr>
                <w:b/>
                <w:bCs/>
              </w:rPr>
            </w:pPr>
          </w:p>
          <w:p w:rsidR="00DF344C" w:rsidRPr="00323009" w:rsidRDefault="00DF344C" w:rsidP="002679A3">
            <w:pPr>
              <w:adjustRightInd w:val="0"/>
              <w:snapToGrid w:val="0"/>
              <w:spacing w:line="276" w:lineRule="auto"/>
              <w:ind w:right="135"/>
              <w:rPr>
                <w:b/>
                <w:bCs/>
              </w:rPr>
            </w:pPr>
          </w:p>
          <w:p w:rsidR="00DF344C" w:rsidRPr="00323009" w:rsidRDefault="00DF344C" w:rsidP="002679A3">
            <w:pPr>
              <w:adjustRightInd w:val="0"/>
              <w:snapToGrid w:val="0"/>
              <w:spacing w:line="276" w:lineRule="auto"/>
              <w:ind w:right="135"/>
              <w:rPr>
                <w:b/>
                <w:bCs/>
              </w:rPr>
            </w:pPr>
          </w:p>
        </w:tc>
      </w:tr>
      <w:tr w:rsidR="00323009" w:rsidRPr="00323009" w:rsidTr="009348D7">
        <w:tblPrEx>
          <w:tblLook w:val="00A0" w:firstRow="1" w:lastRow="0" w:firstColumn="1" w:lastColumn="0" w:noHBand="0" w:noVBand="0"/>
        </w:tblPrEx>
        <w:trPr>
          <w:trHeight w:val="2198"/>
        </w:trPr>
        <w:tc>
          <w:tcPr>
            <w:tcW w:w="5181" w:type="dxa"/>
          </w:tcPr>
          <w:p w:rsidR="009348D7" w:rsidRPr="00323009" w:rsidRDefault="009348D7" w:rsidP="002679A3">
            <w:pPr>
              <w:adjustRightInd w:val="0"/>
              <w:snapToGrid w:val="0"/>
              <w:spacing w:line="276" w:lineRule="auto"/>
              <w:jc w:val="center"/>
              <w:rPr>
                <w:b/>
                <w:bCs/>
              </w:rPr>
            </w:pPr>
          </w:p>
          <w:p w:rsidR="009348D7" w:rsidRPr="00323009" w:rsidRDefault="009348D7" w:rsidP="002679A3">
            <w:pPr>
              <w:adjustRightInd w:val="0"/>
              <w:snapToGrid w:val="0"/>
              <w:spacing w:line="276" w:lineRule="auto"/>
              <w:rPr>
                <w:rStyle w:val="arial12negru1"/>
                <w:rFonts w:ascii="Times New Roman" w:hAnsi="Times New Roman" w:cs="Times New Roman"/>
                <w:b/>
                <w:bCs/>
                <w:color w:val="auto"/>
                <w:sz w:val="24"/>
                <w:szCs w:val="24"/>
              </w:rPr>
            </w:pPr>
            <w:r w:rsidRPr="00323009">
              <w:rPr>
                <w:rStyle w:val="arial12negru1"/>
                <w:rFonts w:ascii="Times New Roman" w:hAnsi="Times New Roman" w:cs="Times New Roman"/>
                <w:b/>
                <w:bCs/>
                <w:color w:val="auto"/>
                <w:sz w:val="24"/>
                <w:szCs w:val="24"/>
              </w:rPr>
              <w:t xml:space="preserve">               Ministrul Educației Naționale</w:t>
            </w:r>
          </w:p>
          <w:p w:rsidR="009348D7" w:rsidRPr="00323009" w:rsidRDefault="009348D7"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9348D7" w:rsidRPr="00323009" w:rsidRDefault="009348D7" w:rsidP="002679A3">
            <w:pPr>
              <w:adjustRightInd w:val="0"/>
              <w:snapToGrid w:val="0"/>
              <w:spacing w:line="276" w:lineRule="auto"/>
              <w:jc w:val="center"/>
              <w:rPr>
                <w:rStyle w:val="arial12negru1"/>
                <w:rFonts w:ascii="Times New Roman" w:hAnsi="Times New Roman" w:cs="Times New Roman"/>
                <w:b/>
                <w:bCs/>
                <w:color w:val="auto"/>
                <w:sz w:val="24"/>
                <w:szCs w:val="24"/>
              </w:rPr>
            </w:pPr>
            <w:r w:rsidRPr="00323009">
              <w:rPr>
                <w:rStyle w:val="arial12negru1"/>
                <w:rFonts w:ascii="Times New Roman" w:hAnsi="Times New Roman" w:cs="Times New Roman"/>
                <w:b/>
                <w:bCs/>
                <w:color w:val="auto"/>
                <w:sz w:val="24"/>
                <w:szCs w:val="24"/>
              </w:rPr>
              <w:t>Ecaterina ANDRONESCU</w:t>
            </w:r>
          </w:p>
          <w:p w:rsidR="00EC69B7" w:rsidRPr="00323009" w:rsidRDefault="009348D7" w:rsidP="002679A3">
            <w:pPr>
              <w:adjustRightInd w:val="0"/>
              <w:snapToGrid w:val="0"/>
              <w:spacing w:line="276" w:lineRule="auto"/>
              <w:jc w:val="center"/>
              <w:rPr>
                <w:b/>
                <w:bCs/>
              </w:rPr>
            </w:pPr>
            <w:r w:rsidRPr="00323009">
              <w:rPr>
                <w:rStyle w:val="arial12negru1"/>
                <w:rFonts w:ascii="Times New Roman" w:hAnsi="Times New Roman" w:cs="Times New Roman"/>
                <w:b/>
                <w:bCs/>
                <w:color w:val="auto"/>
                <w:sz w:val="24"/>
                <w:szCs w:val="24"/>
              </w:rPr>
              <w:t xml:space="preserve"> </w:t>
            </w:r>
          </w:p>
          <w:p w:rsidR="00951863" w:rsidRPr="00323009" w:rsidRDefault="00951863" w:rsidP="002679A3">
            <w:pPr>
              <w:spacing w:line="276" w:lineRule="auto"/>
            </w:pPr>
          </w:p>
          <w:p w:rsidR="00951863" w:rsidRPr="00323009" w:rsidRDefault="00951863" w:rsidP="002679A3">
            <w:pPr>
              <w:spacing w:line="276" w:lineRule="auto"/>
            </w:pPr>
          </w:p>
          <w:p w:rsidR="00951863" w:rsidRPr="00323009" w:rsidRDefault="00951863" w:rsidP="002679A3">
            <w:pPr>
              <w:spacing w:line="276" w:lineRule="auto"/>
            </w:pPr>
          </w:p>
          <w:p w:rsidR="00EC69B7" w:rsidRPr="00323009" w:rsidRDefault="00EC69B7" w:rsidP="002679A3">
            <w:pPr>
              <w:spacing w:line="276" w:lineRule="auto"/>
            </w:pPr>
          </w:p>
          <w:p w:rsidR="00951863" w:rsidRPr="00323009" w:rsidRDefault="00EC69B7" w:rsidP="002679A3">
            <w:pPr>
              <w:tabs>
                <w:tab w:val="left" w:pos="990"/>
              </w:tabs>
              <w:spacing w:line="276" w:lineRule="auto"/>
            </w:pPr>
            <w:r w:rsidRPr="00323009">
              <w:tab/>
            </w:r>
          </w:p>
        </w:tc>
        <w:tc>
          <w:tcPr>
            <w:tcW w:w="5179" w:type="dxa"/>
          </w:tcPr>
          <w:p w:rsidR="009348D7" w:rsidRPr="00323009" w:rsidRDefault="009348D7"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BB62B1" w:rsidRPr="00323009" w:rsidRDefault="00BB62B1" w:rsidP="002679A3">
            <w:pPr>
              <w:adjustRightInd w:val="0"/>
              <w:snapToGrid w:val="0"/>
              <w:spacing w:line="276" w:lineRule="auto"/>
              <w:jc w:val="center"/>
              <w:rPr>
                <w:rStyle w:val="arial12negru1"/>
                <w:rFonts w:ascii="Times New Roman" w:hAnsi="Times New Roman" w:cs="Times New Roman"/>
                <w:b/>
                <w:bCs/>
                <w:color w:val="auto"/>
                <w:sz w:val="24"/>
                <w:szCs w:val="24"/>
              </w:rPr>
            </w:pPr>
            <w:r w:rsidRPr="00323009">
              <w:rPr>
                <w:rStyle w:val="arial12negru1"/>
                <w:rFonts w:ascii="Times New Roman" w:hAnsi="Times New Roman" w:cs="Times New Roman"/>
                <w:b/>
                <w:bCs/>
                <w:color w:val="auto"/>
                <w:sz w:val="24"/>
                <w:szCs w:val="24"/>
              </w:rPr>
              <w:t>Ministrul Justiției</w:t>
            </w:r>
          </w:p>
          <w:p w:rsidR="009522AC" w:rsidRPr="00323009" w:rsidRDefault="009522AC"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BB62B1" w:rsidRPr="00323009" w:rsidRDefault="0078052A" w:rsidP="002679A3">
            <w:pPr>
              <w:adjustRightInd w:val="0"/>
              <w:snapToGrid w:val="0"/>
              <w:spacing w:line="276" w:lineRule="auto"/>
              <w:jc w:val="center"/>
              <w:rPr>
                <w:rStyle w:val="arial12negru1"/>
                <w:rFonts w:ascii="Times New Roman" w:hAnsi="Times New Roman" w:cs="Times New Roman"/>
                <w:b/>
                <w:bCs/>
                <w:color w:val="auto"/>
                <w:sz w:val="24"/>
                <w:szCs w:val="24"/>
              </w:rPr>
            </w:pPr>
            <w:r w:rsidRPr="00323009">
              <w:rPr>
                <w:b/>
                <w:bCs/>
                <w:shd w:val="clear" w:color="auto" w:fill="FFFFFF"/>
              </w:rPr>
              <w:t>Ana BIRCHALL</w:t>
            </w:r>
          </w:p>
          <w:p w:rsidR="00BB62B1" w:rsidRPr="00323009" w:rsidRDefault="00BB62B1"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BB62B1" w:rsidRPr="00323009" w:rsidRDefault="00BB62B1"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BB62B1" w:rsidRPr="00323009" w:rsidRDefault="00BB62B1"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BB62B1" w:rsidRPr="00323009" w:rsidRDefault="00BB62B1"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BB62B1" w:rsidRPr="00323009" w:rsidRDefault="00BB62B1" w:rsidP="002679A3">
            <w:pPr>
              <w:adjustRightInd w:val="0"/>
              <w:snapToGrid w:val="0"/>
              <w:spacing w:line="276" w:lineRule="auto"/>
              <w:jc w:val="center"/>
              <w:rPr>
                <w:rStyle w:val="arial12negru1"/>
                <w:rFonts w:ascii="Times New Roman" w:hAnsi="Times New Roman" w:cs="Times New Roman"/>
                <w:b/>
                <w:bCs/>
                <w:color w:val="auto"/>
                <w:sz w:val="24"/>
                <w:szCs w:val="24"/>
              </w:rPr>
            </w:pPr>
          </w:p>
          <w:p w:rsidR="009348D7" w:rsidRPr="00323009" w:rsidRDefault="009348D7" w:rsidP="002679A3">
            <w:pPr>
              <w:spacing w:line="276" w:lineRule="auto"/>
            </w:pPr>
          </w:p>
          <w:p w:rsidR="009348D7" w:rsidRPr="00323009" w:rsidRDefault="009348D7" w:rsidP="002679A3">
            <w:pPr>
              <w:spacing w:line="276" w:lineRule="auto"/>
            </w:pPr>
          </w:p>
          <w:p w:rsidR="009348D7" w:rsidRPr="00323009" w:rsidRDefault="009348D7" w:rsidP="002679A3">
            <w:pPr>
              <w:spacing w:line="276" w:lineRule="auto"/>
            </w:pPr>
          </w:p>
          <w:p w:rsidR="009348D7" w:rsidRPr="00323009" w:rsidRDefault="009348D7" w:rsidP="002679A3">
            <w:pPr>
              <w:spacing w:line="276" w:lineRule="auto"/>
            </w:pPr>
          </w:p>
          <w:p w:rsidR="009348D7" w:rsidRPr="00323009" w:rsidRDefault="009348D7" w:rsidP="002679A3">
            <w:pPr>
              <w:spacing w:line="276" w:lineRule="auto"/>
            </w:pPr>
          </w:p>
        </w:tc>
      </w:tr>
    </w:tbl>
    <w:p w:rsidR="002006DB" w:rsidRPr="00323009" w:rsidRDefault="002006DB" w:rsidP="00BF1CFB">
      <w:pPr>
        <w:pStyle w:val="doc-ti"/>
        <w:adjustRightInd w:val="0"/>
        <w:spacing w:before="0" w:after="0" w:line="276" w:lineRule="auto"/>
        <w:jc w:val="left"/>
      </w:pPr>
      <w:bookmarkStart w:id="0" w:name="_GoBack"/>
      <w:bookmarkEnd w:id="0"/>
    </w:p>
    <w:sectPr w:rsidR="002006DB" w:rsidRPr="00323009" w:rsidSect="00CF019A">
      <w:footerReference w:type="default" r:id="rId8"/>
      <w:pgSz w:w="11907" w:h="16840" w:code="9"/>
      <w:pgMar w:top="993" w:right="567" w:bottom="993" w:left="90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42" w:rsidRDefault="00A54942">
      <w:r>
        <w:separator/>
      </w:r>
    </w:p>
  </w:endnote>
  <w:endnote w:type="continuationSeparator" w:id="0">
    <w:p w:rsidR="00A54942" w:rsidRDefault="00A5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0E" w:rsidRDefault="00E96C0E">
    <w:pPr>
      <w:pStyle w:val="FooterCoverPage"/>
      <w:rPr>
        <w:rFonts w:ascii="Arial" w:hAnsi="Arial" w:cs="Arial"/>
        <w:b/>
        <w:sz w:val="48"/>
      </w:rPr>
    </w:pPr>
    <w:r>
      <w:rPr>
        <w:rFonts w:ascii="Arial" w:hAnsi="Arial" w:cs="Arial"/>
        <w:b/>
        <w:sz w:val="4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42" w:rsidRDefault="00A54942">
      <w:r>
        <w:separator/>
      </w:r>
    </w:p>
  </w:footnote>
  <w:footnote w:type="continuationSeparator" w:id="0">
    <w:p w:rsidR="00A54942" w:rsidRDefault="00A5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39B"/>
    <w:multiLevelType w:val="hybridMultilevel"/>
    <w:tmpl w:val="2AB862D2"/>
    <w:lvl w:ilvl="0" w:tplc="AC8AAA50">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133FAC"/>
    <w:multiLevelType w:val="hybridMultilevel"/>
    <w:tmpl w:val="DB1ED0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A577A9"/>
    <w:multiLevelType w:val="hybridMultilevel"/>
    <w:tmpl w:val="2690DAEE"/>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321F1C40"/>
    <w:multiLevelType w:val="hybridMultilevel"/>
    <w:tmpl w:val="07CEA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5322C"/>
    <w:multiLevelType w:val="hybridMultilevel"/>
    <w:tmpl w:val="260CE7D2"/>
    <w:lvl w:ilvl="0" w:tplc="042AFDCA">
      <w:start w:val="2"/>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E9120E"/>
    <w:multiLevelType w:val="hybridMultilevel"/>
    <w:tmpl w:val="8EDC0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1" w15:restartNumberingAfterBreak="0">
    <w:nsid w:val="46F44352"/>
    <w:multiLevelType w:val="hybridMultilevel"/>
    <w:tmpl w:val="A560D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01218"/>
    <w:multiLevelType w:val="hybridMultilevel"/>
    <w:tmpl w:val="8F58A86A"/>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5376A3E"/>
    <w:multiLevelType w:val="hybridMultilevel"/>
    <w:tmpl w:val="2BC6CEC0"/>
    <w:lvl w:ilvl="0" w:tplc="EFEAA736">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55E333F2"/>
    <w:multiLevelType w:val="hybridMultilevel"/>
    <w:tmpl w:val="17E85F6E"/>
    <w:lvl w:ilvl="0" w:tplc="E98EAE24">
      <w:start w:val="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3C1D8D"/>
    <w:multiLevelType w:val="hybridMultilevel"/>
    <w:tmpl w:val="2E20D124"/>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7B4E429A"/>
    <w:multiLevelType w:val="hybridMultilevel"/>
    <w:tmpl w:val="D0446D00"/>
    <w:lvl w:ilvl="0" w:tplc="F4A26EB6">
      <w:start w:val="2"/>
      <w:numFmt w:val="bullet"/>
      <w:lvlText w:val="-"/>
      <w:lvlJc w:val="left"/>
      <w:pPr>
        <w:ind w:left="405" w:hanging="360"/>
      </w:pPr>
      <w:rPr>
        <w:rFonts w:ascii="Times New Roman" w:eastAsia="SimSun" w:hAnsi="Times New Roman" w:cs="Times New Roman" w:hint="default"/>
        <w:sz w:val="23"/>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0"/>
    <w:lvlOverride w:ilvl="0">
      <w:startOverride w:val="1"/>
    </w:lvlOverride>
  </w:num>
  <w:num w:numId="10">
    <w:abstractNumId w:val="16"/>
    <w:lvlOverride w:ilvl="0">
      <w:startOverride w:val="1"/>
    </w:lvlOverride>
  </w:num>
  <w:num w:numId="11">
    <w:abstractNumId w:val="9"/>
  </w:num>
  <w:num w:numId="12">
    <w:abstractNumId w:val="19"/>
  </w:num>
  <w:num w:numId="13">
    <w:abstractNumId w:val="2"/>
  </w:num>
  <w:num w:numId="14">
    <w:abstractNumId w:val="14"/>
  </w:num>
  <w:num w:numId="15">
    <w:abstractNumId w:val="11"/>
  </w:num>
  <w:num w:numId="16">
    <w:abstractNumId w:val="0"/>
  </w:num>
  <w:num w:numId="17">
    <w:abstractNumId w:val="15"/>
  </w:num>
  <w:num w:numId="18">
    <w:abstractNumId w:val="1"/>
  </w:num>
  <w:num w:numId="19">
    <w:abstractNumId w:val="4"/>
  </w:num>
  <w:num w:numId="20">
    <w:abstractNumId w:val="18"/>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11A0"/>
    <w:rsid w:val="00000B90"/>
    <w:rsid w:val="00000EB8"/>
    <w:rsid w:val="000015C8"/>
    <w:rsid w:val="0000182A"/>
    <w:rsid w:val="00001883"/>
    <w:rsid w:val="00004594"/>
    <w:rsid w:val="00004EEB"/>
    <w:rsid w:val="00005503"/>
    <w:rsid w:val="00005A4D"/>
    <w:rsid w:val="00006187"/>
    <w:rsid w:val="0000652C"/>
    <w:rsid w:val="000066C1"/>
    <w:rsid w:val="00006A70"/>
    <w:rsid w:val="00007769"/>
    <w:rsid w:val="000106E4"/>
    <w:rsid w:val="00010C42"/>
    <w:rsid w:val="00010F23"/>
    <w:rsid w:val="00011BFA"/>
    <w:rsid w:val="00011EAF"/>
    <w:rsid w:val="000125B4"/>
    <w:rsid w:val="000142F5"/>
    <w:rsid w:val="00014A2A"/>
    <w:rsid w:val="00014C4B"/>
    <w:rsid w:val="00014DBB"/>
    <w:rsid w:val="00014E4E"/>
    <w:rsid w:val="00014EB4"/>
    <w:rsid w:val="00015CEB"/>
    <w:rsid w:val="00015D8C"/>
    <w:rsid w:val="00015DC0"/>
    <w:rsid w:val="00020990"/>
    <w:rsid w:val="00020E82"/>
    <w:rsid w:val="0002144B"/>
    <w:rsid w:val="00021C71"/>
    <w:rsid w:val="00023530"/>
    <w:rsid w:val="000245D7"/>
    <w:rsid w:val="00026F18"/>
    <w:rsid w:val="00026F7D"/>
    <w:rsid w:val="0003479E"/>
    <w:rsid w:val="000355D9"/>
    <w:rsid w:val="00036805"/>
    <w:rsid w:val="00036F23"/>
    <w:rsid w:val="000401F1"/>
    <w:rsid w:val="00040650"/>
    <w:rsid w:val="00041BB8"/>
    <w:rsid w:val="000420F0"/>
    <w:rsid w:val="00042223"/>
    <w:rsid w:val="00043D7D"/>
    <w:rsid w:val="000459EE"/>
    <w:rsid w:val="00045F72"/>
    <w:rsid w:val="000463D1"/>
    <w:rsid w:val="00046826"/>
    <w:rsid w:val="000473AF"/>
    <w:rsid w:val="00047704"/>
    <w:rsid w:val="0005030A"/>
    <w:rsid w:val="00050CFF"/>
    <w:rsid w:val="00053649"/>
    <w:rsid w:val="00053CB7"/>
    <w:rsid w:val="000541F6"/>
    <w:rsid w:val="000550F3"/>
    <w:rsid w:val="000550FD"/>
    <w:rsid w:val="00055654"/>
    <w:rsid w:val="000561A2"/>
    <w:rsid w:val="00057F5F"/>
    <w:rsid w:val="00061138"/>
    <w:rsid w:val="0006182F"/>
    <w:rsid w:val="00061C3D"/>
    <w:rsid w:val="000625F6"/>
    <w:rsid w:val="00062763"/>
    <w:rsid w:val="000629B3"/>
    <w:rsid w:val="00064D2B"/>
    <w:rsid w:val="00065514"/>
    <w:rsid w:val="00066456"/>
    <w:rsid w:val="0006657E"/>
    <w:rsid w:val="0007076A"/>
    <w:rsid w:val="00070E95"/>
    <w:rsid w:val="000731EB"/>
    <w:rsid w:val="00073306"/>
    <w:rsid w:val="00073491"/>
    <w:rsid w:val="00073E54"/>
    <w:rsid w:val="00075022"/>
    <w:rsid w:val="00075BC6"/>
    <w:rsid w:val="0007710D"/>
    <w:rsid w:val="000776A6"/>
    <w:rsid w:val="00080419"/>
    <w:rsid w:val="000816D1"/>
    <w:rsid w:val="00081A00"/>
    <w:rsid w:val="00081AA1"/>
    <w:rsid w:val="000825BF"/>
    <w:rsid w:val="00082842"/>
    <w:rsid w:val="00084C88"/>
    <w:rsid w:val="00084D75"/>
    <w:rsid w:val="000859EF"/>
    <w:rsid w:val="000862D5"/>
    <w:rsid w:val="000863A1"/>
    <w:rsid w:val="000918BE"/>
    <w:rsid w:val="000929EE"/>
    <w:rsid w:val="000933E2"/>
    <w:rsid w:val="00093FED"/>
    <w:rsid w:val="0009403C"/>
    <w:rsid w:val="00096720"/>
    <w:rsid w:val="00096D32"/>
    <w:rsid w:val="000977CF"/>
    <w:rsid w:val="00097C7E"/>
    <w:rsid w:val="000A02C3"/>
    <w:rsid w:val="000A059F"/>
    <w:rsid w:val="000A3B5C"/>
    <w:rsid w:val="000A451D"/>
    <w:rsid w:val="000A5E9F"/>
    <w:rsid w:val="000A6402"/>
    <w:rsid w:val="000A6F09"/>
    <w:rsid w:val="000A7E4E"/>
    <w:rsid w:val="000B012B"/>
    <w:rsid w:val="000B0847"/>
    <w:rsid w:val="000B0D5E"/>
    <w:rsid w:val="000B10C8"/>
    <w:rsid w:val="000B13B8"/>
    <w:rsid w:val="000B1EDA"/>
    <w:rsid w:val="000B23A2"/>
    <w:rsid w:val="000B3FE7"/>
    <w:rsid w:val="000B4A0B"/>
    <w:rsid w:val="000B4F5F"/>
    <w:rsid w:val="000B5A63"/>
    <w:rsid w:val="000B60CD"/>
    <w:rsid w:val="000B7AB2"/>
    <w:rsid w:val="000C0A10"/>
    <w:rsid w:val="000C0C9A"/>
    <w:rsid w:val="000C30AC"/>
    <w:rsid w:val="000C4047"/>
    <w:rsid w:val="000C4DDB"/>
    <w:rsid w:val="000C57A4"/>
    <w:rsid w:val="000C6AFD"/>
    <w:rsid w:val="000C6BF2"/>
    <w:rsid w:val="000D14E1"/>
    <w:rsid w:val="000D1875"/>
    <w:rsid w:val="000D31D1"/>
    <w:rsid w:val="000D3232"/>
    <w:rsid w:val="000D443F"/>
    <w:rsid w:val="000D4520"/>
    <w:rsid w:val="000D76EE"/>
    <w:rsid w:val="000D7C73"/>
    <w:rsid w:val="000E0BE4"/>
    <w:rsid w:val="000E226F"/>
    <w:rsid w:val="000E442E"/>
    <w:rsid w:val="000E4739"/>
    <w:rsid w:val="000E4D86"/>
    <w:rsid w:val="000E59AA"/>
    <w:rsid w:val="000E6517"/>
    <w:rsid w:val="000F1D18"/>
    <w:rsid w:val="000F355E"/>
    <w:rsid w:val="000F38D7"/>
    <w:rsid w:val="000F3BDC"/>
    <w:rsid w:val="000F4407"/>
    <w:rsid w:val="000F511C"/>
    <w:rsid w:val="000F598B"/>
    <w:rsid w:val="000F5BCD"/>
    <w:rsid w:val="000F6032"/>
    <w:rsid w:val="000F72DA"/>
    <w:rsid w:val="000F78F3"/>
    <w:rsid w:val="00100874"/>
    <w:rsid w:val="00102231"/>
    <w:rsid w:val="001022A1"/>
    <w:rsid w:val="001026B2"/>
    <w:rsid w:val="001036B8"/>
    <w:rsid w:val="00105F66"/>
    <w:rsid w:val="00106EED"/>
    <w:rsid w:val="00107F6B"/>
    <w:rsid w:val="001103B9"/>
    <w:rsid w:val="00111253"/>
    <w:rsid w:val="0011196D"/>
    <w:rsid w:val="00113A24"/>
    <w:rsid w:val="00115E8D"/>
    <w:rsid w:val="00116A57"/>
    <w:rsid w:val="00116A8C"/>
    <w:rsid w:val="00116F89"/>
    <w:rsid w:val="00120449"/>
    <w:rsid w:val="001210F7"/>
    <w:rsid w:val="0012112E"/>
    <w:rsid w:val="001219A2"/>
    <w:rsid w:val="00124CC7"/>
    <w:rsid w:val="00125E47"/>
    <w:rsid w:val="001261CC"/>
    <w:rsid w:val="00126D17"/>
    <w:rsid w:val="00130088"/>
    <w:rsid w:val="00130D82"/>
    <w:rsid w:val="00131002"/>
    <w:rsid w:val="00132377"/>
    <w:rsid w:val="0013429D"/>
    <w:rsid w:val="001345F9"/>
    <w:rsid w:val="00134786"/>
    <w:rsid w:val="00135E9A"/>
    <w:rsid w:val="00136AD7"/>
    <w:rsid w:val="001370BD"/>
    <w:rsid w:val="00137B1C"/>
    <w:rsid w:val="00141522"/>
    <w:rsid w:val="00143CF8"/>
    <w:rsid w:val="00143D6E"/>
    <w:rsid w:val="00144616"/>
    <w:rsid w:val="0014522B"/>
    <w:rsid w:val="00145C5A"/>
    <w:rsid w:val="001463C7"/>
    <w:rsid w:val="00150691"/>
    <w:rsid w:val="0015223C"/>
    <w:rsid w:val="00152D6D"/>
    <w:rsid w:val="001536CF"/>
    <w:rsid w:val="00153873"/>
    <w:rsid w:val="00153AFD"/>
    <w:rsid w:val="00153E99"/>
    <w:rsid w:val="00154FE5"/>
    <w:rsid w:val="0015504B"/>
    <w:rsid w:val="0015539A"/>
    <w:rsid w:val="00155D44"/>
    <w:rsid w:val="00156162"/>
    <w:rsid w:val="00156A1D"/>
    <w:rsid w:val="00156C3A"/>
    <w:rsid w:val="00156CD4"/>
    <w:rsid w:val="00157269"/>
    <w:rsid w:val="0016020C"/>
    <w:rsid w:val="00160AA0"/>
    <w:rsid w:val="00160C17"/>
    <w:rsid w:val="00161364"/>
    <w:rsid w:val="0016177D"/>
    <w:rsid w:val="00163B32"/>
    <w:rsid w:val="00163F29"/>
    <w:rsid w:val="00164026"/>
    <w:rsid w:val="00164420"/>
    <w:rsid w:val="00166740"/>
    <w:rsid w:val="00166ABD"/>
    <w:rsid w:val="00166E90"/>
    <w:rsid w:val="00167062"/>
    <w:rsid w:val="00167C09"/>
    <w:rsid w:val="00167DCA"/>
    <w:rsid w:val="00167E01"/>
    <w:rsid w:val="001707E3"/>
    <w:rsid w:val="00170A84"/>
    <w:rsid w:val="00170AB2"/>
    <w:rsid w:val="0017126E"/>
    <w:rsid w:val="00172137"/>
    <w:rsid w:val="00172C20"/>
    <w:rsid w:val="00176AE6"/>
    <w:rsid w:val="001771A8"/>
    <w:rsid w:val="00177353"/>
    <w:rsid w:val="00177665"/>
    <w:rsid w:val="001779C4"/>
    <w:rsid w:val="00180F7D"/>
    <w:rsid w:val="001815ED"/>
    <w:rsid w:val="001825FE"/>
    <w:rsid w:val="0018389E"/>
    <w:rsid w:val="00183F28"/>
    <w:rsid w:val="001840B6"/>
    <w:rsid w:val="00184799"/>
    <w:rsid w:val="001857FC"/>
    <w:rsid w:val="00185A38"/>
    <w:rsid w:val="00186082"/>
    <w:rsid w:val="00186E5A"/>
    <w:rsid w:val="0018755A"/>
    <w:rsid w:val="00187806"/>
    <w:rsid w:val="0019038E"/>
    <w:rsid w:val="00190550"/>
    <w:rsid w:val="00190A2D"/>
    <w:rsid w:val="0019127F"/>
    <w:rsid w:val="001919F8"/>
    <w:rsid w:val="001927C0"/>
    <w:rsid w:val="00192E44"/>
    <w:rsid w:val="0019329E"/>
    <w:rsid w:val="00193E77"/>
    <w:rsid w:val="001940CA"/>
    <w:rsid w:val="00194382"/>
    <w:rsid w:val="00194A2A"/>
    <w:rsid w:val="001959A6"/>
    <w:rsid w:val="00195F1E"/>
    <w:rsid w:val="00196BC9"/>
    <w:rsid w:val="001A146A"/>
    <w:rsid w:val="001A1FF6"/>
    <w:rsid w:val="001A2BE4"/>
    <w:rsid w:val="001A4D86"/>
    <w:rsid w:val="001A4EC9"/>
    <w:rsid w:val="001A53B3"/>
    <w:rsid w:val="001A61FC"/>
    <w:rsid w:val="001A6AED"/>
    <w:rsid w:val="001A6D1C"/>
    <w:rsid w:val="001A7B45"/>
    <w:rsid w:val="001A7C4F"/>
    <w:rsid w:val="001B128B"/>
    <w:rsid w:val="001B32D7"/>
    <w:rsid w:val="001B4174"/>
    <w:rsid w:val="001B44E7"/>
    <w:rsid w:val="001B4FE1"/>
    <w:rsid w:val="001B6088"/>
    <w:rsid w:val="001B6FFB"/>
    <w:rsid w:val="001B7576"/>
    <w:rsid w:val="001C019D"/>
    <w:rsid w:val="001C0935"/>
    <w:rsid w:val="001C0A4C"/>
    <w:rsid w:val="001C1173"/>
    <w:rsid w:val="001C1570"/>
    <w:rsid w:val="001C1BDD"/>
    <w:rsid w:val="001C28A7"/>
    <w:rsid w:val="001C3507"/>
    <w:rsid w:val="001C4325"/>
    <w:rsid w:val="001C51DE"/>
    <w:rsid w:val="001C72BF"/>
    <w:rsid w:val="001C7930"/>
    <w:rsid w:val="001D2567"/>
    <w:rsid w:val="001D2AB8"/>
    <w:rsid w:val="001D48DC"/>
    <w:rsid w:val="001D5342"/>
    <w:rsid w:val="001D6353"/>
    <w:rsid w:val="001D7640"/>
    <w:rsid w:val="001D7F58"/>
    <w:rsid w:val="001E2AB1"/>
    <w:rsid w:val="001E3F99"/>
    <w:rsid w:val="001E5A1C"/>
    <w:rsid w:val="001E6D30"/>
    <w:rsid w:val="001F0A9B"/>
    <w:rsid w:val="001F126C"/>
    <w:rsid w:val="001F1CCE"/>
    <w:rsid w:val="001F2061"/>
    <w:rsid w:val="001F2AD0"/>
    <w:rsid w:val="001F3723"/>
    <w:rsid w:val="001F3E1A"/>
    <w:rsid w:val="001F5328"/>
    <w:rsid w:val="001F549C"/>
    <w:rsid w:val="001F5FEA"/>
    <w:rsid w:val="001F6151"/>
    <w:rsid w:val="001F68D2"/>
    <w:rsid w:val="001F7526"/>
    <w:rsid w:val="001F78DD"/>
    <w:rsid w:val="002006DB"/>
    <w:rsid w:val="0020198C"/>
    <w:rsid w:val="00202D13"/>
    <w:rsid w:val="0020301B"/>
    <w:rsid w:val="00203420"/>
    <w:rsid w:val="00206468"/>
    <w:rsid w:val="002067E8"/>
    <w:rsid w:val="0020691A"/>
    <w:rsid w:val="002074FE"/>
    <w:rsid w:val="0021093D"/>
    <w:rsid w:val="00210F7F"/>
    <w:rsid w:val="00211E5F"/>
    <w:rsid w:val="00211FCB"/>
    <w:rsid w:val="00212043"/>
    <w:rsid w:val="00212537"/>
    <w:rsid w:val="00212FC0"/>
    <w:rsid w:val="002134CC"/>
    <w:rsid w:val="002149CB"/>
    <w:rsid w:val="00214F61"/>
    <w:rsid w:val="00215891"/>
    <w:rsid w:val="00215BD0"/>
    <w:rsid w:val="00215DE2"/>
    <w:rsid w:val="00217AEC"/>
    <w:rsid w:val="002214BC"/>
    <w:rsid w:val="00222A9A"/>
    <w:rsid w:val="00222D8E"/>
    <w:rsid w:val="00223535"/>
    <w:rsid w:val="00223AF1"/>
    <w:rsid w:val="00224780"/>
    <w:rsid w:val="002247B2"/>
    <w:rsid w:val="00224F7D"/>
    <w:rsid w:val="00226F95"/>
    <w:rsid w:val="002272AC"/>
    <w:rsid w:val="002273CA"/>
    <w:rsid w:val="002276C1"/>
    <w:rsid w:val="00227A05"/>
    <w:rsid w:val="002317A4"/>
    <w:rsid w:val="00231E86"/>
    <w:rsid w:val="00232281"/>
    <w:rsid w:val="002325CF"/>
    <w:rsid w:val="002332A0"/>
    <w:rsid w:val="00233E97"/>
    <w:rsid w:val="002359E0"/>
    <w:rsid w:val="00237315"/>
    <w:rsid w:val="00240647"/>
    <w:rsid w:val="0024488B"/>
    <w:rsid w:val="00244A61"/>
    <w:rsid w:val="00244A91"/>
    <w:rsid w:val="00244F14"/>
    <w:rsid w:val="002458BC"/>
    <w:rsid w:val="002466A5"/>
    <w:rsid w:val="00246ACA"/>
    <w:rsid w:val="00247E8B"/>
    <w:rsid w:val="00250038"/>
    <w:rsid w:val="002524AA"/>
    <w:rsid w:val="00252813"/>
    <w:rsid w:val="00252C04"/>
    <w:rsid w:val="002530E3"/>
    <w:rsid w:val="002544EF"/>
    <w:rsid w:val="00256A84"/>
    <w:rsid w:val="00256AF2"/>
    <w:rsid w:val="002579D6"/>
    <w:rsid w:val="00260AEA"/>
    <w:rsid w:val="0026130D"/>
    <w:rsid w:val="0026222E"/>
    <w:rsid w:val="00262E69"/>
    <w:rsid w:val="00263A3A"/>
    <w:rsid w:val="002647F3"/>
    <w:rsid w:val="00264956"/>
    <w:rsid w:val="002652BD"/>
    <w:rsid w:val="002664AB"/>
    <w:rsid w:val="00266E6A"/>
    <w:rsid w:val="002679A3"/>
    <w:rsid w:val="00270B4B"/>
    <w:rsid w:val="0027192E"/>
    <w:rsid w:val="002755A1"/>
    <w:rsid w:val="002777E2"/>
    <w:rsid w:val="00277832"/>
    <w:rsid w:val="002779F8"/>
    <w:rsid w:val="00277B3B"/>
    <w:rsid w:val="00280508"/>
    <w:rsid w:val="002807B2"/>
    <w:rsid w:val="002808B3"/>
    <w:rsid w:val="00280A0D"/>
    <w:rsid w:val="00280F6E"/>
    <w:rsid w:val="002820F8"/>
    <w:rsid w:val="00282AA8"/>
    <w:rsid w:val="00282ADC"/>
    <w:rsid w:val="00282B78"/>
    <w:rsid w:val="00283D83"/>
    <w:rsid w:val="00284BC8"/>
    <w:rsid w:val="002850FD"/>
    <w:rsid w:val="00286086"/>
    <w:rsid w:val="00287691"/>
    <w:rsid w:val="002879EC"/>
    <w:rsid w:val="00290954"/>
    <w:rsid w:val="00290C56"/>
    <w:rsid w:val="00290F48"/>
    <w:rsid w:val="002912D6"/>
    <w:rsid w:val="002923F8"/>
    <w:rsid w:val="00292EDC"/>
    <w:rsid w:val="00293117"/>
    <w:rsid w:val="0029315B"/>
    <w:rsid w:val="0029352E"/>
    <w:rsid w:val="00293AA3"/>
    <w:rsid w:val="00293BB9"/>
    <w:rsid w:val="002956EA"/>
    <w:rsid w:val="00295862"/>
    <w:rsid w:val="00295DAA"/>
    <w:rsid w:val="00297B1F"/>
    <w:rsid w:val="002A0600"/>
    <w:rsid w:val="002A0603"/>
    <w:rsid w:val="002A1150"/>
    <w:rsid w:val="002A1BF6"/>
    <w:rsid w:val="002A28BA"/>
    <w:rsid w:val="002A2ABC"/>
    <w:rsid w:val="002A304A"/>
    <w:rsid w:val="002A49EF"/>
    <w:rsid w:val="002A7418"/>
    <w:rsid w:val="002A783C"/>
    <w:rsid w:val="002A7FCE"/>
    <w:rsid w:val="002B21B9"/>
    <w:rsid w:val="002B227E"/>
    <w:rsid w:val="002B2444"/>
    <w:rsid w:val="002B298F"/>
    <w:rsid w:val="002B2C0C"/>
    <w:rsid w:val="002B2C66"/>
    <w:rsid w:val="002B3DC4"/>
    <w:rsid w:val="002B4BA0"/>
    <w:rsid w:val="002B51D6"/>
    <w:rsid w:val="002B5648"/>
    <w:rsid w:val="002B753D"/>
    <w:rsid w:val="002B7561"/>
    <w:rsid w:val="002B7C7E"/>
    <w:rsid w:val="002B7CAD"/>
    <w:rsid w:val="002C0985"/>
    <w:rsid w:val="002C0AAD"/>
    <w:rsid w:val="002C1A57"/>
    <w:rsid w:val="002C1C17"/>
    <w:rsid w:val="002C4102"/>
    <w:rsid w:val="002C417D"/>
    <w:rsid w:val="002C7930"/>
    <w:rsid w:val="002C7BE5"/>
    <w:rsid w:val="002D107A"/>
    <w:rsid w:val="002D1759"/>
    <w:rsid w:val="002D1D28"/>
    <w:rsid w:val="002D2510"/>
    <w:rsid w:val="002D2F77"/>
    <w:rsid w:val="002D344D"/>
    <w:rsid w:val="002D34DF"/>
    <w:rsid w:val="002D4E22"/>
    <w:rsid w:val="002D62FC"/>
    <w:rsid w:val="002D65CB"/>
    <w:rsid w:val="002D66EF"/>
    <w:rsid w:val="002D736B"/>
    <w:rsid w:val="002D795F"/>
    <w:rsid w:val="002E04B8"/>
    <w:rsid w:val="002E0EEA"/>
    <w:rsid w:val="002E1761"/>
    <w:rsid w:val="002E1D42"/>
    <w:rsid w:val="002E3E8D"/>
    <w:rsid w:val="002E3F50"/>
    <w:rsid w:val="002E430E"/>
    <w:rsid w:val="002E75DF"/>
    <w:rsid w:val="002E7617"/>
    <w:rsid w:val="002E7D77"/>
    <w:rsid w:val="002F028A"/>
    <w:rsid w:val="002F1F1C"/>
    <w:rsid w:val="002F273A"/>
    <w:rsid w:val="002F2811"/>
    <w:rsid w:val="002F5113"/>
    <w:rsid w:val="002F61EA"/>
    <w:rsid w:val="002F6883"/>
    <w:rsid w:val="002F7BCB"/>
    <w:rsid w:val="00300144"/>
    <w:rsid w:val="00300237"/>
    <w:rsid w:val="003026B8"/>
    <w:rsid w:val="0030454A"/>
    <w:rsid w:val="003045E6"/>
    <w:rsid w:val="003058D0"/>
    <w:rsid w:val="00307B7D"/>
    <w:rsid w:val="003102AC"/>
    <w:rsid w:val="003108C8"/>
    <w:rsid w:val="00311937"/>
    <w:rsid w:val="00312058"/>
    <w:rsid w:val="003136C1"/>
    <w:rsid w:val="00313F84"/>
    <w:rsid w:val="0031521C"/>
    <w:rsid w:val="00315ED6"/>
    <w:rsid w:val="00316336"/>
    <w:rsid w:val="003167CF"/>
    <w:rsid w:val="00320D76"/>
    <w:rsid w:val="00321A0E"/>
    <w:rsid w:val="00321BB6"/>
    <w:rsid w:val="003222C1"/>
    <w:rsid w:val="00322BEA"/>
    <w:rsid w:val="00323009"/>
    <w:rsid w:val="00324D92"/>
    <w:rsid w:val="00325966"/>
    <w:rsid w:val="00325C15"/>
    <w:rsid w:val="0032604E"/>
    <w:rsid w:val="00326F57"/>
    <w:rsid w:val="003273D3"/>
    <w:rsid w:val="00327A02"/>
    <w:rsid w:val="00330364"/>
    <w:rsid w:val="0033125C"/>
    <w:rsid w:val="00332A8E"/>
    <w:rsid w:val="00332E23"/>
    <w:rsid w:val="003341D3"/>
    <w:rsid w:val="003342D3"/>
    <w:rsid w:val="00334891"/>
    <w:rsid w:val="00334DE5"/>
    <w:rsid w:val="003355C0"/>
    <w:rsid w:val="003358D8"/>
    <w:rsid w:val="0033684D"/>
    <w:rsid w:val="00340061"/>
    <w:rsid w:val="0034077F"/>
    <w:rsid w:val="00340EB0"/>
    <w:rsid w:val="00341650"/>
    <w:rsid w:val="00341B20"/>
    <w:rsid w:val="00341FDC"/>
    <w:rsid w:val="00342FC5"/>
    <w:rsid w:val="003430F8"/>
    <w:rsid w:val="003439F5"/>
    <w:rsid w:val="00344381"/>
    <w:rsid w:val="00344448"/>
    <w:rsid w:val="00344938"/>
    <w:rsid w:val="0034512A"/>
    <w:rsid w:val="00345D99"/>
    <w:rsid w:val="003467AD"/>
    <w:rsid w:val="00346AB1"/>
    <w:rsid w:val="00346D3A"/>
    <w:rsid w:val="00347B65"/>
    <w:rsid w:val="00350E06"/>
    <w:rsid w:val="003511B8"/>
    <w:rsid w:val="00352700"/>
    <w:rsid w:val="00352BB9"/>
    <w:rsid w:val="00353461"/>
    <w:rsid w:val="00353917"/>
    <w:rsid w:val="0035398F"/>
    <w:rsid w:val="00355233"/>
    <w:rsid w:val="00361346"/>
    <w:rsid w:val="003616FF"/>
    <w:rsid w:val="00363222"/>
    <w:rsid w:val="00364131"/>
    <w:rsid w:val="00364160"/>
    <w:rsid w:val="003648BA"/>
    <w:rsid w:val="00364D4E"/>
    <w:rsid w:val="003653EB"/>
    <w:rsid w:val="00366B1F"/>
    <w:rsid w:val="003671ED"/>
    <w:rsid w:val="00370E5C"/>
    <w:rsid w:val="00370E89"/>
    <w:rsid w:val="003710D4"/>
    <w:rsid w:val="00371C99"/>
    <w:rsid w:val="003726D2"/>
    <w:rsid w:val="00372AB6"/>
    <w:rsid w:val="00373FA4"/>
    <w:rsid w:val="00374665"/>
    <w:rsid w:val="00375A45"/>
    <w:rsid w:val="00376A06"/>
    <w:rsid w:val="00376AAB"/>
    <w:rsid w:val="00376D12"/>
    <w:rsid w:val="0037727E"/>
    <w:rsid w:val="003776A4"/>
    <w:rsid w:val="00377ADB"/>
    <w:rsid w:val="00377E6D"/>
    <w:rsid w:val="003831FE"/>
    <w:rsid w:val="0038337A"/>
    <w:rsid w:val="00383CC9"/>
    <w:rsid w:val="00383E47"/>
    <w:rsid w:val="003845B5"/>
    <w:rsid w:val="00384CAD"/>
    <w:rsid w:val="00385C5D"/>
    <w:rsid w:val="00387BB2"/>
    <w:rsid w:val="00393849"/>
    <w:rsid w:val="00393D81"/>
    <w:rsid w:val="00393D87"/>
    <w:rsid w:val="0039470A"/>
    <w:rsid w:val="00394B28"/>
    <w:rsid w:val="0039583E"/>
    <w:rsid w:val="003963D0"/>
    <w:rsid w:val="003974AA"/>
    <w:rsid w:val="003A1C87"/>
    <w:rsid w:val="003A1EC8"/>
    <w:rsid w:val="003A3368"/>
    <w:rsid w:val="003A3B0D"/>
    <w:rsid w:val="003A4057"/>
    <w:rsid w:val="003A4B1F"/>
    <w:rsid w:val="003A5C6F"/>
    <w:rsid w:val="003A6509"/>
    <w:rsid w:val="003A6C86"/>
    <w:rsid w:val="003A7AAA"/>
    <w:rsid w:val="003B15C2"/>
    <w:rsid w:val="003B1C6B"/>
    <w:rsid w:val="003B1D9F"/>
    <w:rsid w:val="003B232B"/>
    <w:rsid w:val="003B248D"/>
    <w:rsid w:val="003B3F35"/>
    <w:rsid w:val="003B65A3"/>
    <w:rsid w:val="003B65F9"/>
    <w:rsid w:val="003B7206"/>
    <w:rsid w:val="003B75E3"/>
    <w:rsid w:val="003C03E6"/>
    <w:rsid w:val="003C0679"/>
    <w:rsid w:val="003C155C"/>
    <w:rsid w:val="003C30A1"/>
    <w:rsid w:val="003C3431"/>
    <w:rsid w:val="003C3821"/>
    <w:rsid w:val="003C3E76"/>
    <w:rsid w:val="003C43DA"/>
    <w:rsid w:val="003C4D77"/>
    <w:rsid w:val="003C566A"/>
    <w:rsid w:val="003C63B8"/>
    <w:rsid w:val="003C67E3"/>
    <w:rsid w:val="003C6C0A"/>
    <w:rsid w:val="003C6C74"/>
    <w:rsid w:val="003C7BDE"/>
    <w:rsid w:val="003C7D40"/>
    <w:rsid w:val="003D02E7"/>
    <w:rsid w:val="003D0B2E"/>
    <w:rsid w:val="003D10C6"/>
    <w:rsid w:val="003D12D8"/>
    <w:rsid w:val="003D1492"/>
    <w:rsid w:val="003D29A1"/>
    <w:rsid w:val="003D2AD3"/>
    <w:rsid w:val="003D2DF5"/>
    <w:rsid w:val="003D323A"/>
    <w:rsid w:val="003D3B3F"/>
    <w:rsid w:val="003D3D1B"/>
    <w:rsid w:val="003D402D"/>
    <w:rsid w:val="003D5378"/>
    <w:rsid w:val="003D6F55"/>
    <w:rsid w:val="003E0FFA"/>
    <w:rsid w:val="003E1031"/>
    <w:rsid w:val="003E15BD"/>
    <w:rsid w:val="003E164C"/>
    <w:rsid w:val="003E1B1B"/>
    <w:rsid w:val="003E46CE"/>
    <w:rsid w:val="003E4FAB"/>
    <w:rsid w:val="003E5EEB"/>
    <w:rsid w:val="003E7393"/>
    <w:rsid w:val="003F2679"/>
    <w:rsid w:val="003F37F2"/>
    <w:rsid w:val="003F4634"/>
    <w:rsid w:val="003F5A1F"/>
    <w:rsid w:val="003F66B6"/>
    <w:rsid w:val="003F6E3A"/>
    <w:rsid w:val="004004B1"/>
    <w:rsid w:val="004004D0"/>
    <w:rsid w:val="0040066C"/>
    <w:rsid w:val="00400831"/>
    <w:rsid w:val="00400B7E"/>
    <w:rsid w:val="00400C15"/>
    <w:rsid w:val="0040107D"/>
    <w:rsid w:val="00403F17"/>
    <w:rsid w:val="00404956"/>
    <w:rsid w:val="00404D82"/>
    <w:rsid w:val="00406AA8"/>
    <w:rsid w:val="00406E70"/>
    <w:rsid w:val="0041051C"/>
    <w:rsid w:val="0041330B"/>
    <w:rsid w:val="0041383F"/>
    <w:rsid w:val="00414DA5"/>
    <w:rsid w:val="00415386"/>
    <w:rsid w:val="00415A5D"/>
    <w:rsid w:val="00415D91"/>
    <w:rsid w:val="00415F25"/>
    <w:rsid w:val="00416227"/>
    <w:rsid w:val="004178F8"/>
    <w:rsid w:val="00420C82"/>
    <w:rsid w:val="004224E9"/>
    <w:rsid w:val="00422F4B"/>
    <w:rsid w:val="00423ECD"/>
    <w:rsid w:val="00424686"/>
    <w:rsid w:val="004246E9"/>
    <w:rsid w:val="0042496D"/>
    <w:rsid w:val="0042543D"/>
    <w:rsid w:val="00426349"/>
    <w:rsid w:val="00426818"/>
    <w:rsid w:val="004316FA"/>
    <w:rsid w:val="0043175B"/>
    <w:rsid w:val="00433CAD"/>
    <w:rsid w:val="00436196"/>
    <w:rsid w:val="004369DD"/>
    <w:rsid w:val="00436A8B"/>
    <w:rsid w:val="00437947"/>
    <w:rsid w:val="00437D37"/>
    <w:rsid w:val="00440D4D"/>
    <w:rsid w:val="0044145F"/>
    <w:rsid w:val="0044150C"/>
    <w:rsid w:val="00442AB4"/>
    <w:rsid w:val="00444064"/>
    <w:rsid w:val="00444895"/>
    <w:rsid w:val="00444AA6"/>
    <w:rsid w:val="00444C02"/>
    <w:rsid w:val="0044539D"/>
    <w:rsid w:val="004458A6"/>
    <w:rsid w:val="00445DAD"/>
    <w:rsid w:val="00446715"/>
    <w:rsid w:val="00447AF8"/>
    <w:rsid w:val="00450CFD"/>
    <w:rsid w:val="00451EEA"/>
    <w:rsid w:val="00452176"/>
    <w:rsid w:val="004527AE"/>
    <w:rsid w:val="00452E95"/>
    <w:rsid w:val="00452EF7"/>
    <w:rsid w:val="00453580"/>
    <w:rsid w:val="004536AA"/>
    <w:rsid w:val="00453E0C"/>
    <w:rsid w:val="00454228"/>
    <w:rsid w:val="00454E3B"/>
    <w:rsid w:val="004561EC"/>
    <w:rsid w:val="00456A25"/>
    <w:rsid w:val="00456C5D"/>
    <w:rsid w:val="004574DF"/>
    <w:rsid w:val="00457846"/>
    <w:rsid w:val="00457E7A"/>
    <w:rsid w:val="00460A44"/>
    <w:rsid w:val="00460D80"/>
    <w:rsid w:val="00461335"/>
    <w:rsid w:val="00461430"/>
    <w:rsid w:val="0046262E"/>
    <w:rsid w:val="00462850"/>
    <w:rsid w:val="004630A2"/>
    <w:rsid w:val="00465DE6"/>
    <w:rsid w:val="00465E27"/>
    <w:rsid w:val="004666CF"/>
    <w:rsid w:val="004672BF"/>
    <w:rsid w:val="00467DF1"/>
    <w:rsid w:val="00471267"/>
    <w:rsid w:val="00471AC3"/>
    <w:rsid w:val="004723F2"/>
    <w:rsid w:val="00473C8C"/>
    <w:rsid w:val="00474254"/>
    <w:rsid w:val="00476D48"/>
    <w:rsid w:val="00477245"/>
    <w:rsid w:val="0048000B"/>
    <w:rsid w:val="004812E1"/>
    <w:rsid w:val="0048244B"/>
    <w:rsid w:val="00482852"/>
    <w:rsid w:val="00482A5A"/>
    <w:rsid w:val="0048307B"/>
    <w:rsid w:val="00483528"/>
    <w:rsid w:val="00485DB5"/>
    <w:rsid w:val="00485F1B"/>
    <w:rsid w:val="00486E7B"/>
    <w:rsid w:val="00492015"/>
    <w:rsid w:val="004930D8"/>
    <w:rsid w:val="00493C97"/>
    <w:rsid w:val="0049480D"/>
    <w:rsid w:val="00495EDD"/>
    <w:rsid w:val="00496620"/>
    <w:rsid w:val="00496DC6"/>
    <w:rsid w:val="004A034C"/>
    <w:rsid w:val="004A1086"/>
    <w:rsid w:val="004A35AB"/>
    <w:rsid w:val="004A3DDA"/>
    <w:rsid w:val="004A411D"/>
    <w:rsid w:val="004A54B6"/>
    <w:rsid w:val="004A57AD"/>
    <w:rsid w:val="004A5F4C"/>
    <w:rsid w:val="004A623C"/>
    <w:rsid w:val="004A67CB"/>
    <w:rsid w:val="004A6AAD"/>
    <w:rsid w:val="004A7225"/>
    <w:rsid w:val="004A7E00"/>
    <w:rsid w:val="004B0EEB"/>
    <w:rsid w:val="004B1EB3"/>
    <w:rsid w:val="004B215F"/>
    <w:rsid w:val="004B22FA"/>
    <w:rsid w:val="004B2EEC"/>
    <w:rsid w:val="004B3110"/>
    <w:rsid w:val="004B34EC"/>
    <w:rsid w:val="004B3A08"/>
    <w:rsid w:val="004B470E"/>
    <w:rsid w:val="004B5D35"/>
    <w:rsid w:val="004B695B"/>
    <w:rsid w:val="004B792A"/>
    <w:rsid w:val="004B7C8B"/>
    <w:rsid w:val="004C195B"/>
    <w:rsid w:val="004C3429"/>
    <w:rsid w:val="004C58EB"/>
    <w:rsid w:val="004C5930"/>
    <w:rsid w:val="004C5E05"/>
    <w:rsid w:val="004C7034"/>
    <w:rsid w:val="004C7701"/>
    <w:rsid w:val="004C7D48"/>
    <w:rsid w:val="004D0104"/>
    <w:rsid w:val="004D0599"/>
    <w:rsid w:val="004D0BCA"/>
    <w:rsid w:val="004D1F92"/>
    <w:rsid w:val="004D34F1"/>
    <w:rsid w:val="004D42BE"/>
    <w:rsid w:val="004D48AA"/>
    <w:rsid w:val="004D583A"/>
    <w:rsid w:val="004D5E8E"/>
    <w:rsid w:val="004D6F43"/>
    <w:rsid w:val="004D7C22"/>
    <w:rsid w:val="004E0CC1"/>
    <w:rsid w:val="004E1660"/>
    <w:rsid w:val="004E2BAE"/>
    <w:rsid w:val="004E2F63"/>
    <w:rsid w:val="004E355F"/>
    <w:rsid w:val="004E3F31"/>
    <w:rsid w:val="004E46E8"/>
    <w:rsid w:val="004E50B5"/>
    <w:rsid w:val="004E59B1"/>
    <w:rsid w:val="004E5EF4"/>
    <w:rsid w:val="004E76D6"/>
    <w:rsid w:val="004E77D0"/>
    <w:rsid w:val="004E77EB"/>
    <w:rsid w:val="004E7C81"/>
    <w:rsid w:val="004F01D3"/>
    <w:rsid w:val="004F0FA5"/>
    <w:rsid w:val="004F1A54"/>
    <w:rsid w:val="004F23D3"/>
    <w:rsid w:val="004F40B2"/>
    <w:rsid w:val="004F4AB0"/>
    <w:rsid w:val="004F4DA0"/>
    <w:rsid w:val="004F6443"/>
    <w:rsid w:val="004F6833"/>
    <w:rsid w:val="005004DA"/>
    <w:rsid w:val="00500D8E"/>
    <w:rsid w:val="00500FD2"/>
    <w:rsid w:val="005014D1"/>
    <w:rsid w:val="005027F4"/>
    <w:rsid w:val="00503B53"/>
    <w:rsid w:val="005043D9"/>
    <w:rsid w:val="00505E51"/>
    <w:rsid w:val="005066CA"/>
    <w:rsid w:val="00506BD6"/>
    <w:rsid w:val="00507A58"/>
    <w:rsid w:val="0051069F"/>
    <w:rsid w:val="00510755"/>
    <w:rsid w:val="00510940"/>
    <w:rsid w:val="005118AD"/>
    <w:rsid w:val="00511C8E"/>
    <w:rsid w:val="00511DAA"/>
    <w:rsid w:val="0051239A"/>
    <w:rsid w:val="00512636"/>
    <w:rsid w:val="005131BB"/>
    <w:rsid w:val="00513406"/>
    <w:rsid w:val="00513CD6"/>
    <w:rsid w:val="005145F6"/>
    <w:rsid w:val="00514D95"/>
    <w:rsid w:val="005164F5"/>
    <w:rsid w:val="00517193"/>
    <w:rsid w:val="0051799B"/>
    <w:rsid w:val="005215BA"/>
    <w:rsid w:val="00522314"/>
    <w:rsid w:val="00522ACF"/>
    <w:rsid w:val="00522BAD"/>
    <w:rsid w:val="00523499"/>
    <w:rsid w:val="00523A33"/>
    <w:rsid w:val="00523E26"/>
    <w:rsid w:val="00524ABC"/>
    <w:rsid w:val="00525EFD"/>
    <w:rsid w:val="00530ABC"/>
    <w:rsid w:val="00532121"/>
    <w:rsid w:val="00532966"/>
    <w:rsid w:val="005335A7"/>
    <w:rsid w:val="00533B73"/>
    <w:rsid w:val="00533BDE"/>
    <w:rsid w:val="00535166"/>
    <w:rsid w:val="00537626"/>
    <w:rsid w:val="00537E82"/>
    <w:rsid w:val="00537F4A"/>
    <w:rsid w:val="005414DE"/>
    <w:rsid w:val="00541729"/>
    <w:rsid w:val="00542A0F"/>
    <w:rsid w:val="00545648"/>
    <w:rsid w:val="00545682"/>
    <w:rsid w:val="00545FC4"/>
    <w:rsid w:val="00546A31"/>
    <w:rsid w:val="00547122"/>
    <w:rsid w:val="00550BA6"/>
    <w:rsid w:val="005519BD"/>
    <w:rsid w:val="0055321B"/>
    <w:rsid w:val="00553574"/>
    <w:rsid w:val="00554F60"/>
    <w:rsid w:val="005564E5"/>
    <w:rsid w:val="00556ABA"/>
    <w:rsid w:val="00560312"/>
    <w:rsid w:val="00560B5E"/>
    <w:rsid w:val="005618B3"/>
    <w:rsid w:val="005624CC"/>
    <w:rsid w:val="0056273A"/>
    <w:rsid w:val="00562820"/>
    <w:rsid w:val="00563755"/>
    <w:rsid w:val="00563BAA"/>
    <w:rsid w:val="00563E01"/>
    <w:rsid w:val="00563F69"/>
    <w:rsid w:val="00564D9B"/>
    <w:rsid w:val="00565057"/>
    <w:rsid w:val="00565271"/>
    <w:rsid w:val="00565432"/>
    <w:rsid w:val="00565B8E"/>
    <w:rsid w:val="00566027"/>
    <w:rsid w:val="0056629D"/>
    <w:rsid w:val="00566362"/>
    <w:rsid w:val="00566DAA"/>
    <w:rsid w:val="00566DB3"/>
    <w:rsid w:val="005672CA"/>
    <w:rsid w:val="00567608"/>
    <w:rsid w:val="005676CB"/>
    <w:rsid w:val="0057064F"/>
    <w:rsid w:val="00570A49"/>
    <w:rsid w:val="005718FA"/>
    <w:rsid w:val="00572137"/>
    <w:rsid w:val="00572C09"/>
    <w:rsid w:val="00574251"/>
    <w:rsid w:val="00576A63"/>
    <w:rsid w:val="00577A1E"/>
    <w:rsid w:val="005802CA"/>
    <w:rsid w:val="005807C7"/>
    <w:rsid w:val="0058179C"/>
    <w:rsid w:val="00581F72"/>
    <w:rsid w:val="00582A50"/>
    <w:rsid w:val="00582B2A"/>
    <w:rsid w:val="005837A4"/>
    <w:rsid w:val="00584F0A"/>
    <w:rsid w:val="00585D9A"/>
    <w:rsid w:val="00585DEC"/>
    <w:rsid w:val="00586769"/>
    <w:rsid w:val="005869C2"/>
    <w:rsid w:val="005878A7"/>
    <w:rsid w:val="005913C5"/>
    <w:rsid w:val="00591CC9"/>
    <w:rsid w:val="00592AFE"/>
    <w:rsid w:val="00593F3B"/>
    <w:rsid w:val="00594023"/>
    <w:rsid w:val="005945EB"/>
    <w:rsid w:val="00594961"/>
    <w:rsid w:val="0059498C"/>
    <w:rsid w:val="00594C2C"/>
    <w:rsid w:val="00594DA1"/>
    <w:rsid w:val="005956A5"/>
    <w:rsid w:val="00596635"/>
    <w:rsid w:val="00596F13"/>
    <w:rsid w:val="005977DA"/>
    <w:rsid w:val="005A0CF0"/>
    <w:rsid w:val="005A1756"/>
    <w:rsid w:val="005A3771"/>
    <w:rsid w:val="005A4D27"/>
    <w:rsid w:val="005A5600"/>
    <w:rsid w:val="005A59E5"/>
    <w:rsid w:val="005A5AC3"/>
    <w:rsid w:val="005A63AE"/>
    <w:rsid w:val="005A7D0D"/>
    <w:rsid w:val="005B0693"/>
    <w:rsid w:val="005B1C48"/>
    <w:rsid w:val="005B2EF6"/>
    <w:rsid w:val="005B4A6A"/>
    <w:rsid w:val="005B5BE5"/>
    <w:rsid w:val="005B615F"/>
    <w:rsid w:val="005B62AA"/>
    <w:rsid w:val="005B62C6"/>
    <w:rsid w:val="005B6D32"/>
    <w:rsid w:val="005B72A3"/>
    <w:rsid w:val="005B73AE"/>
    <w:rsid w:val="005B793C"/>
    <w:rsid w:val="005B7F34"/>
    <w:rsid w:val="005C143A"/>
    <w:rsid w:val="005C1771"/>
    <w:rsid w:val="005C1FD8"/>
    <w:rsid w:val="005C39D6"/>
    <w:rsid w:val="005C6AC4"/>
    <w:rsid w:val="005D14F5"/>
    <w:rsid w:val="005D2685"/>
    <w:rsid w:val="005D2E32"/>
    <w:rsid w:val="005D423B"/>
    <w:rsid w:val="005D48BE"/>
    <w:rsid w:val="005D4FD6"/>
    <w:rsid w:val="005D73A1"/>
    <w:rsid w:val="005E016A"/>
    <w:rsid w:val="005E11C9"/>
    <w:rsid w:val="005E1ED7"/>
    <w:rsid w:val="005E2FB3"/>
    <w:rsid w:val="005E438A"/>
    <w:rsid w:val="005E466A"/>
    <w:rsid w:val="005E658C"/>
    <w:rsid w:val="005E6A0D"/>
    <w:rsid w:val="005E6B87"/>
    <w:rsid w:val="005F04B6"/>
    <w:rsid w:val="005F2466"/>
    <w:rsid w:val="005F2A9B"/>
    <w:rsid w:val="005F2DA0"/>
    <w:rsid w:val="005F33B5"/>
    <w:rsid w:val="005F366A"/>
    <w:rsid w:val="005F3C23"/>
    <w:rsid w:val="005F5EC1"/>
    <w:rsid w:val="005F658E"/>
    <w:rsid w:val="005F7ED2"/>
    <w:rsid w:val="00600091"/>
    <w:rsid w:val="00600938"/>
    <w:rsid w:val="00600EC2"/>
    <w:rsid w:val="0060197E"/>
    <w:rsid w:val="00602148"/>
    <w:rsid w:val="0060262B"/>
    <w:rsid w:val="00603354"/>
    <w:rsid w:val="00603536"/>
    <w:rsid w:val="00603641"/>
    <w:rsid w:val="006039DD"/>
    <w:rsid w:val="00603F27"/>
    <w:rsid w:val="006045CE"/>
    <w:rsid w:val="006046E8"/>
    <w:rsid w:val="00605348"/>
    <w:rsid w:val="00605808"/>
    <w:rsid w:val="00605DDA"/>
    <w:rsid w:val="006068A0"/>
    <w:rsid w:val="006069E4"/>
    <w:rsid w:val="00606F01"/>
    <w:rsid w:val="006100F8"/>
    <w:rsid w:val="0061203A"/>
    <w:rsid w:val="00612325"/>
    <w:rsid w:val="00614CFD"/>
    <w:rsid w:val="00614F78"/>
    <w:rsid w:val="006176D4"/>
    <w:rsid w:val="00617B79"/>
    <w:rsid w:val="00617E2A"/>
    <w:rsid w:val="00617FAA"/>
    <w:rsid w:val="006213E9"/>
    <w:rsid w:val="0062195D"/>
    <w:rsid w:val="00622595"/>
    <w:rsid w:val="00622A7B"/>
    <w:rsid w:val="00623284"/>
    <w:rsid w:val="006237D6"/>
    <w:rsid w:val="00624A4B"/>
    <w:rsid w:val="00624B62"/>
    <w:rsid w:val="00625679"/>
    <w:rsid w:val="00625731"/>
    <w:rsid w:val="0062577A"/>
    <w:rsid w:val="006267F9"/>
    <w:rsid w:val="006273E9"/>
    <w:rsid w:val="00627DEB"/>
    <w:rsid w:val="006315ED"/>
    <w:rsid w:val="00634308"/>
    <w:rsid w:val="006348FB"/>
    <w:rsid w:val="006373F6"/>
    <w:rsid w:val="00640323"/>
    <w:rsid w:val="00640C97"/>
    <w:rsid w:val="006413EA"/>
    <w:rsid w:val="006424D8"/>
    <w:rsid w:val="006446E4"/>
    <w:rsid w:val="00644A47"/>
    <w:rsid w:val="00645019"/>
    <w:rsid w:val="00645DE4"/>
    <w:rsid w:val="006474F4"/>
    <w:rsid w:val="00647A5B"/>
    <w:rsid w:val="00647E6A"/>
    <w:rsid w:val="00647F36"/>
    <w:rsid w:val="00650B97"/>
    <w:rsid w:val="00650F7F"/>
    <w:rsid w:val="00651173"/>
    <w:rsid w:val="006522D4"/>
    <w:rsid w:val="00652813"/>
    <w:rsid w:val="0065290D"/>
    <w:rsid w:val="00652A4F"/>
    <w:rsid w:val="006532B6"/>
    <w:rsid w:val="00653876"/>
    <w:rsid w:val="0065579F"/>
    <w:rsid w:val="006564E4"/>
    <w:rsid w:val="00656884"/>
    <w:rsid w:val="00656FF1"/>
    <w:rsid w:val="00657470"/>
    <w:rsid w:val="00657EE8"/>
    <w:rsid w:val="00657F2B"/>
    <w:rsid w:val="0066007D"/>
    <w:rsid w:val="00661956"/>
    <w:rsid w:val="0066337B"/>
    <w:rsid w:val="006635DA"/>
    <w:rsid w:val="00664286"/>
    <w:rsid w:val="006649C0"/>
    <w:rsid w:val="00664D95"/>
    <w:rsid w:val="00665850"/>
    <w:rsid w:val="006674B2"/>
    <w:rsid w:val="00667603"/>
    <w:rsid w:val="006678E9"/>
    <w:rsid w:val="00670FFE"/>
    <w:rsid w:val="00671247"/>
    <w:rsid w:val="00672573"/>
    <w:rsid w:val="006734B6"/>
    <w:rsid w:val="00674044"/>
    <w:rsid w:val="00675FCC"/>
    <w:rsid w:val="00677196"/>
    <w:rsid w:val="006771AD"/>
    <w:rsid w:val="006772B1"/>
    <w:rsid w:val="00677E97"/>
    <w:rsid w:val="006806A1"/>
    <w:rsid w:val="006807B3"/>
    <w:rsid w:val="00680EF3"/>
    <w:rsid w:val="00680F70"/>
    <w:rsid w:val="006816A7"/>
    <w:rsid w:val="00681C23"/>
    <w:rsid w:val="00682D5B"/>
    <w:rsid w:val="00682F40"/>
    <w:rsid w:val="006837AB"/>
    <w:rsid w:val="006841AB"/>
    <w:rsid w:val="00686313"/>
    <w:rsid w:val="00686332"/>
    <w:rsid w:val="00690C82"/>
    <w:rsid w:val="00694598"/>
    <w:rsid w:val="0069459D"/>
    <w:rsid w:val="006953D3"/>
    <w:rsid w:val="00696AD2"/>
    <w:rsid w:val="00696CF8"/>
    <w:rsid w:val="006A07A9"/>
    <w:rsid w:val="006A0F57"/>
    <w:rsid w:val="006A14B7"/>
    <w:rsid w:val="006A1991"/>
    <w:rsid w:val="006A2E63"/>
    <w:rsid w:val="006A30AA"/>
    <w:rsid w:val="006A3193"/>
    <w:rsid w:val="006A4879"/>
    <w:rsid w:val="006A4C4A"/>
    <w:rsid w:val="006A50D6"/>
    <w:rsid w:val="006A515F"/>
    <w:rsid w:val="006A6C36"/>
    <w:rsid w:val="006A79ED"/>
    <w:rsid w:val="006A7D65"/>
    <w:rsid w:val="006B0067"/>
    <w:rsid w:val="006B0120"/>
    <w:rsid w:val="006B05DD"/>
    <w:rsid w:val="006B1DEC"/>
    <w:rsid w:val="006B2702"/>
    <w:rsid w:val="006B2835"/>
    <w:rsid w:val="006B4366"/>
    <w:rsid w:val="006B56D5"/>
    <w:rsid w:val="006B60B5"/>
    <w:rsid w:val="006B60EE"/>
    <w:rsid w:val="006B78A6"/>
    <w:rsid w:val="006B7BB2"/>
    <w:rsid w:val="006B7C79"/>
    <w:rsid w:val="006C0C27"/>
    <w:rsid w:val="006C0D84"/>
    <w:rsid w:val="006C294A"/>
    <w:rsid w:val="006C2AC6"/>
    <w:rsid w:val="006C2B83"/>
    <w:rsid w:val="006C321C"/>
    <w:rsid w:val="006C352A"/>
    <w:rsid w:val="006C420C"/>
    <w:rsid w:val="006C4DEA"/>
    <w:rsid w:val="006C54AF"/>
    <w:rsid w:val="006C5C38"/>
    <w:rsid w:val="006C6090"/>
    <w:rsid w:val="006D0A38"/>
    <w:rsid w:val="006D16E2"/>
    <w:rsid w:val="006D1F61"/>
    <w:rsid w:val="006D23EF"/>
    <w:rsid w:val="006D272B"/>
    <w:rsid w:val="006D3423"/>
    <w:rsid w:val="006D345A"/>
    <w:rsid w:val="006D36A1"/>
    <w:rsid w:val="006D40B7"/>
    <w:rsid w:val="006D4C85"/>
    <w:rsid w:val="006D4E5D"/>
    <w:rsid w:val="006D500C"/>
    <w:rsid w:val="006D545B"/>
    <w:rsid w:val="006D625D"/>
    <w:rsid w:val="006D62D0"/>
    <w:rsid w:val="006D638D"/>
    <w:rsid w:val="006D670D"/>
    <w:rsid w:val="006E0969"/>
    <w:rsid w:val="006E1807"/>
    <w:rsid w:val="006E349B"/>
    <w:rsid w:val="006E38C7"/>
    <w:rsid w:val="006E3CBC"/>
    <w:rsid w:val="006E42D0"/>
    <w:rsid w:val="006E59C2"/>
    <w:rsid w:val="006E5C0C"/>
    <w:rsid w:val="006E6920"/>
    <w:rsid w:val="006E7206"/>
    <w:rsid w:val="006E744C"/>
    <w:rsid w:val="006F0784"/>
    <w:rsid w:val="006F1214"/>
    <w:rsid w:val="006F1F67"/>
    <w:rsid w:val="006F3BEA"/>
    <w:rsid w:val="006F4421"/>
    <w:rsid w:val="006F499A"/>
    <w:rsid w:val="006F7967"/>
    <w:rsid w:val="00700148"/>
    <w:rsid w:val="00700D9A"/>
    <w:rsid w:val="007017AB"/>
    <w:rsid w:val="007024F4"/>
    <w:rsid w:val="007029DD"/>
    <w:rsid w:val="0070301A"/>
    <w:rsid w:val="00703DE1"/>
    <w:rsid w:val="0070599B"/>
    <w:rsid w:val="00705ADA"/>
    <w:rsid w:val="00705F08"/>
    <w:rsid w:val="007069F6"/>
    <w:rsid w:val="00706AEC"/>
    <w:rsid w:val="00706EF5"/>
    <w:rsid w:val="00707F69"/>
    <w:rsid w:val="00710561"/>
    <w:rsid w:val="00711212"/>
    <w:rsid w:val="00711DB6"/>
    <w:rsid w:val="007127E1"/>
    <w:rsid w:val="007130F7"/>
    <w:rsid w:val="0071420F"/>
    <w:rsid w:val="00714A8A"/>
    <w:rsid w:val="00714F6F"/>
    <w:rsid w:val="007152CB"/>
    <w:rsid w:val="00716204"/>
    <w:rsid w:val="00716800"/>
    <w:rsid w:val="00716C30"/>
    <w:rsid w:val="0072153D"/>
    <w:rsid w:val="007219BE"/>
    <w:rsid w:val="00722AE0"/>
    <w:rsid w:val="00722F6F"/>
    <w:rsid w:val="0072346A"/>
    <w:rsid w:val="00723C4F"/>
    <w:rsid w:val="00725D24"/>
    <w:rsid w:val="00725F99"/>
    <w:rsid w:val="00726644"/>
    <w:rsid w:val="00727364"/>
    <w:rsid w:val="007300BB"/>
    <w:rsid w:val="00730776"/>
    <w:rsid w:val="00730B25"/>
    <w:rsid w:val="007317ED"/>
    <w:rsid w:val="00731C3A"/>
    <w:rsid w:val="007320D4"/>
    <w:rsid w:val="00732CF6"/>
    <w:rsid w:val="0073359E"/>
    <w:rsid w:val="0073481E"/>
    <w:rsid w:val="00734B0C"/>
    <w:rsid w:val="00737C97"/>
    <w:rsid w:val="0074074C"/>
    <w:rsid w:val="007416DA"/>
    <w:rsid w:val="00741860"/>
    <w:rsid w:val="00741C28"/>
    <w:rsid w:val="00741C31"/>
    <w:rsid w:val="00741CE6"/>
    <w:rsid w:val="00742471"/>
    <w:rsid w:val="007432BE"/>
    <w:rsid w:val="00744115"/>
    <w:rsid w:val="007464F6"/>
    <w:rsid w:val="00746D4E"/>
    <w:rsid w:val="00747088"/>
    <w:rsid w:val="007471DB"/>
    <w:rsid w:val="0074778F"/>
    <w:rsid w:val="007478B0"/>
    <w:rsid w:val="00747F40"/>
    <w:rsid w:val="0075072F"/>
    <w:rsid w:val="00751EFB"/>
    <w:rsid w:val="00752980"/>
    <w:rsid w:val="007532C3"/>
    <w:rsid w:val="00753A84"/>
    <w:rsid w:val="00754905"/>
    <w:rsid w:val="007554B4"/>
    <w:rsid w:val="007560E4"/>
    <w:rsid w:val="007573A5"/>
    <w:rsid w:val="00757982"/>
    <w:rsid w:val="00760752"/>
    <w:rsid w:val="00761492"/>
    <w:rsid w:val="00762706"/>
    <w:rsid w:val="00763821"/>
    <w:rsid w:val="00763ADC"/>
    <w:rsid w:val="00764B3D"/>
    <w:rsid w:val="00764E3D"/>
    <w:rsid w:val="0076601A"/>
    <w:rsid w:val="0076743F"/>
    <w:rsid w:val="00767711"/>
    <w:rsid w:val="007705FF"/>
    <w:rsid w:val="00770D95"/>
    <w:rsid w:val="0077141D"/>
    <w:rsid w:val="007722B9"/>
    <w:rsid w:val="0077287D"/>
    <w:rsid w:val="00772EA0"/>
    <w:rsid w:val="0077374D"/>
    <w:rsid w:val="00775159"/>
    <w:rsid w:val="00776DD8"/>
    <w:rsid w:val="0078052A"/>
    <w:rsid w:val="007814B0"/>
    <w:rsid w:val="007815AB"/>
    <w:rsid w:val="007818EA"/>
    <w:rsid w:val="00781B2A"/>
    <w:rsid w:val="00782B20"/>
    <w:rsid w:val="00783824"/>
    <w:rsid w:val="00784B5F"/>
    <w:rsid w:val="00785C72"/>
    <w:rsid w:val="00786156"/>
    <w:rsid w:val="00786848"/>
    <w:rsid w:val="00786863"/>
    <w:rsid w:val="00787D8C"/>
    <w:rsid w:val="00790392"/>
    <w:rsid w:val="00790FE3"/>
    <w:rsid w:val="007912C6"/>
    <w:rsid w:val="007915F9"/>
    <w:rsid w:val="007922C9"/>
    <w:rsid w:val="00792471"/>
    <w:rsid w:val="007931BA"/>
    <w:rsid w:val="00794835"/>
    <w:rsid w:val="007A1399"/>
    <w:rsid w:val="007A2023"/>
    <w:rsid w:val="007A3365"/>
    <w:rsid w:val="007A4302"/>
    <w:rsid w:val="007A4651"/>
    <w:rsid w:val="007A5003"/>
    <w:rsid w:val="007A5608"/>
    <w:rsid w:val="007A6227"/>
    <w:rsid w:val="007A64F7"/>
    <w:rsid w:val="007A6EF0"/>
    <w:rsid w:val="007A784A"/>
    <w:rsid w:val="007B0103"/>
    <w:rsid w:val="007B09F7"/>
    <w:rsid w:val="007B0B0D"/>
    <w:rsid w:val="007B13EE"/>
    <w:rsid w:val="007B1497"/>
    <w:rsid w:val="007B239D"/>
    <w:rsid w:val="007B263F"/>
    <w:rsid w:val="007B29BC"/>
    <w:rsid w:val="007B2B64"/>
    <w:rsid w:val="007B30B8"/>
    <w:rsid w:val="007B4B7E"/>
    <w:rsid w:val="007B5852"/>
    <w:rsid w:val="007B6373"/>
    <w:rsid w:val="007C05F6"/>
    <w:rsid w:val="007C0DB8"/>
    <w:rsid w:val="007C1214"/>
    <w:rsid w:val="007C2E1B"/>
    <w:rsid w:val="007C3068"/>
    <w:rsid w:val="007C3DCC"/>
    <w:rsid w:val="007C6678"/>
    <w:rsid w:val="007C7BB7"/>
    <w:rsid w:val="007D1696"/>
    <w:rsid w:val="007D3067"/>
    <w:rsid w:val="007D344A"/>
    <w:rsid w:val="007D35EC"/>
    <w:rsid w:val="007D377C"/>
    <w:rsid w:val="007D3A4F"/>
    <w:rsid w:val="007D53D7"/>
    <w:rsid w:val="007D5582"/>
    <w:rsid w:val="007D5995"/>
    <w:rsid w:val="007D6EDB"/>
    <w:rsid w:val="007D72D2"/>
    <w:rsid w:val="007E0C06"/>
    <w:rsid w:val="007E15F5"/>
    <w:rsid w:val="007E200D"/>
    <w:rsid w:val="007E47E6"/>
    <w:rsid w:val="007E54C9"/>
    <w:rsid w:val="007E5AC9"/>
    <w:rsid w:val="007E5B4F"/>
    <w:rsid w:val="007E696F"/>
    <w:rsid w:val="007E6AAA"/>
    <w:rsid w:val="007E6F37"/>
    <w:rsid w:val="007E71D4"/>
    <w:rsid w:val="007E727E"/>
    <w:rsid w:val="007E7CE7"/>
    <w:rsid w:val="007F024C"/>
    <w:rsid w:val="007F19B4"/>
    <w:rsid w:val="007F1C82"/>
    <w:rsid w:val="007F1CA7"/>
    <w:rsid w:val="007F1E4B"/>
    <w:rsid w:val="007F20B0"/>
    <w:rsid w:val="007F290E"/>
    <w:rsid w:val="007F2DA9"/>
    <w:rsid w:val="007F3F8B"/>
    <w:rsid w:val="007F5270"/>
    <w:rsid w:val="007F5EF6"/>
    <w:rsid w:val="007F7363"/>
    <w:rsid w:val="007F7E2D"/>
    <w:rsid w:val="008002AE"/>
    <w:rsid w:val="0080048A"/>
    <w:rsid w:val="0080164B"/>
    <w:rsid w:val="008016FF"/>
    <w:rsid w:val="00802E8C"/>
    <w:rsid w:val="0080386F"/>
    <w:rsid w:val="008050CC"/>
    <w:rsid w:val="0080521A"/>
    <w:rsid w:val="00805C4E"/>
    <w:rsid w:val="0080737F"/>
    <w:rsid w:val="008074C9"/>
    <w:rsid w:val="00807741"/>
    <w:rsid w:val="0080799B"/>
    <w:rsid w:val="0081019A"/>
    <w:rsid w:val="00810A8B"/>
    <w:rsid w:val="00810CC6"/>
    <w:rsid w:val="00811896"/>
    <w:rsid w:val="00812BF8"/>
    <w:rsid w:val="008130D5"/>
    <w:rsid w:val="0081344A"/>
    <w:rsid w:val="00815827"/>
    <w:rsid w:val="00820020"/>
    <w:rsid w:val="00820CFA"/>
    <w:rsid w:val="00820D4D"/>
    <w:rsid w:val="00820FFC"/>
    <w:rsid w:val="008211B1"/>
    <w:rsid w:val="008216E3"/>
    <w:rsid w:val="00821737"/>
    <w:rsid w:val="008217C6"/>
    <w:rsid w:val="008217C9"/>
    <w:rsid w:val="008242D7"/>
    <w:rsid w:val="00825E47"/>
    <w:rsid w:val="008265BE"/>
    <w:rsid w:val="0082723F"/>
    <w:rsid w:val="00827BED"/>
    <w:rsid w:val="0083038E"/>
    <w:rsid w:val="008308B1"/>
    <w:rsid w:val="008311F0"/>
    <w:rsid w:val="0083194A"/>
    <w:rsid w:val="0083227C"/>
    <w:rsid w:val="00832582"/>
    <w:rsid w:val="00833B40"/>
    <w:rsid w:val="008345CF"/>
    <w:rsid w:val="00834C6B"/>
    <w:rsid w:val="00835BB8"/>
    <w:rsid w:val="00836AA6"/>
    <w:rsid w:val="0084091A"/>
    <w:rsid w:val="00840926"/>
    <w:rsid w:val="008412A1"/>
    <w:rsid w:val="008414C3"/>
    <w:rsid w:val="00841FD7"/>
    <w:rsid w:val="00842D95"/>
    <w:rsid w:val="00842DF7"/>
    <w:rsid w:val="00842F37"/>
    <w:rsid w:val="00843417"/>
    <w:rsid w:val="008435F0"/>
    <w:rsid w:val="00843D80"/>
    <w:rsid w:val="00843FED"/>
    <w:rsid w:val="00844429"/>
    <w:rsid w:val="00845811"/>
    <w:rsid w:val="0084602F"/>
    <w:rsid w:val="00846D9D"/>
    <w:rsid w:val="00847D1F"/>
    <w:rsid w:val="0085041A"/>
    <w:rsid w:val="00850E60"/>
    <w:rsid w:val="00852127"/>
    <w:rsid w:val="0085357A"/>
    <w:rsid w:val="00853C0E"/>
    <w:rsid w:val="00853E55"/>
    <w:rsid w:val="008546EE"/>
    <w:rsid w:val="00855887"/>
    <w:rsid w:val="00856118"/>
    <w:rsid w:val="008574E4"/>
    <w:rsid w:val="00857F46"/>
    <w:rsid w:val="008607CE"/>
    <w:rsid w:val="00860B1B"/>
    <w:rsid w:val="00861D40"/>
    <w:rsid w:val="00862472"/>
    <w:rsid w:val="00862A8A"/>
    <w:rsid w:val="00862E21"/>
    <w:rsid w:val="0086344A"/>
    <w:rsid w:val="008645AA"/>
    <w:rsid w:val="00865403"/>
    <w:rsid w:val="0086576B"/>
    <w:rsid w:val="00865D0C"/>
    <w:rsid w:val="00866932"/>
    <w:rsid w:val="0086714D"/>
    <w:rsid w:val="008677A2"/>
    <w:rsid w:val="00870C15"/>
    <w:rsid w:val="00872E4D"/>
    <w:rsid w:val="00872F6C"/>
    <w:rsid w:val="0087376D"/>
    <w:rsid w:val="00874D4A"/>
    <w:rsid w:val="00875627"/>
    <w:rsid w:val="008773CC"/>
    <w:rsid w:val="00877E82"/>
    <w:rsid w:val="00882145"/>
    <w:rsid w:val="008827E6"/>
    <w:rsid w:val="00882C52"/>
    <w:rsid w:val="008841B5"/>
    <w:rsid w:val="00884E9A"/>
    <w:rsid w:val="008856DB"/>
    <w:rsid w:val="00886254"/>
    <w:rsid w:val="00886B33"/>
    <w:rsid w:val="00886CD5"/>
    <w:rsid w:val="00887B83"/>
    <w:rsid w:val="00887E66"/>
    <w:rsid w:val="00887EE1"/>
    <w:rsid w:val="0089088D"/>
    <w:rsid w:val="00890B52"/>
    <w:rsid w:val="00890C08"/>
    <w:rsid w:val="00890D7D"/>
    <w:rsid w:val="00892254"/>
    <w:rsid w:val="00893902"/>
    <w:rsid w:val="00893C9F"/>
    <w:rsid w:val="008944AF"/>
    <w:rsid w:val="008965AA"/>
    <w:rsid w:val="008A059D"/>
    <w:rsid w:val="008A0812"/>
    <w:rsid w:val="008A0E13"/>
    <w:rsid w:val="008A3CA8"/>
    <w:rsid w:val="008A4B27"/>
    <w:rsid w:val="008A618B"/>
    <w:rsid w:val="008B1EE0"/>
    <w:rsid w:val="008B25B6"/>
    <w:rsid w:val="008B2B64"/>
    <w:rsid w:val="008B2D76"/>
    <w:rsid w:val="008B44A1"/>
    <w:rsid w:val="008B5184"/>
    <w:rsid w:val="008B5852"/>
    <w:rsid w:val="008B5C50"/>
    <w:rsid w:val="008B5F91"/>
    <w:rsid w:val="008B6082"/>
    <w:rsid w:val="008C0DD1"/>
    <w:rsid w:val="008C1647"/>
    <w:rsid w:val="008C262B"/>
    <w:rsid w:val="008C4583"/>
    <w:rsid w:val="008C52DA"/>
    <w:rsid w:val="008C5764"/>
    <w:rsid w:val="008C5B10"/>
    <w:rsid w:val="008C5B7B"/>
    <w:rsid w:val="008D02F2"/>
    <w:rsid w:val="008D11C0"/>
    <w:rsid w:val="008D12BF"/>
    <w:rsid w:val="008D17C9"/>
    <w:rsid w:val="008D1BE4"/>
    <w:rsid w:val="008D30FF"/>
    <w:rsid w:val="008D37ED"/>
    <w:rsid w:val="008D489B"/>
    <w:rsid w:val="008D4C7B"/>
    <w:rsid w:val="008D570D"/>
    <w:rsid w:val="008D5C34"/>
    <w:rsid w:val="008D6168"/>
    <w:rsid w:val="008D648A"/>
    <w:rsid w:val="008D6EEC"/>
    <w:rsid w:val="008D7B9E"/>
    <w:rsid w:val="008E0A22"/>
    <w:rsid w:val="008E0ACF"/>
    <w:rsid w:val="008E0B90"/>
    <w:rsid w:val="008E1B5F"/>
    <w:rsid w:val="008E28D7"/>
    <w:rsid w:val="008E2BCE"/>
    <w:rsid w:val="008E2E56"/>
    <w:rsid w:val="008E391F"/>
    <w:rsid w:val="008E3EE4"/>
    <w:rsid w:val="008E4635"/>
    <w:rsid w:val="008E6BFB"/>
    <w:rsid w:val="008E7764"/>
    <w:rsid w:val="008E7DD3"/>
    <w:rsid w:val="008F0094"/>
    <w:rsid w:val="008F00FD"/>
    <w:rsid w:val="008F010B"/>
    <w:rsid w:val="008F1E9D"/>
    <w:rsid w:val="008F23A7"/>
    <w:rsid w:val="008F294D"/>
    <w:rsid w:val="008F3EF7"/>
    <w:rsid w:val="008F4282"/>
    <w:rsid w:val="008F47EE"/>
    <w:rsid w:val="008F52DA"/>
    <w:rsid w:val="008F5EE3"/>
    <w:rsid w:val="008F67DA"/>
    <w:rsid w:val="008F7993"/>
    <w:rsid w:val="008F7D28"/>
    <w:rsid w:val="00900C43"/>
    <w:rsid w:val="00901944"/>
    <w:rsid w:val="00902009"/>
    <w:rsid w:val="00902EC4"/>
    <w:rsid w:val="00904F20"/>
    <w:rsid w:val="009064CA"/>
    <w:rsid w:val="00907188"/>
    <w:rsid w:val="00907500"/>
    <w:rsid w:val="00907913"/>
    <w:rsid w:val="00907965"/>
    <w:rsid w:val="0091026F"/>
    <w:rsid w:val="00910C28"/>
    <w:rsid w:val="0091176B"/>
    <w:rsid w:val="00911866"/>
    <w:rsid w:val="00911CC1"/>
    <w:rsid w:val="00912A33"/>
    <w:rsid w:val="00912C03"/>
    <w:rsid w:val="009155B2"/>
    <w:rsid w:val="00915E8F"/>
    <w:rsid w:val="0091611A"/>
    <w:rsid w:val="00916AAC"/>
    <w:rsid w:val="00916C0C"/>
    <w:rsid w:val="0091789A"/>
    <w:rsid w:val="009178A1"/>
    <w:rsid w:val="00917F52"/>
    <w:rsid w:val="009204F8"/>
    <w:rsid w:val="00920918"/>
    <w:rsid w:val="00920EDA"/>
    <w:rsid w:val="009229CB"/>
    <w:rsid w:val="00922A1B"/>
    <w:rsid w:val="00922B1E"/>
    <w:rsid w:val="00922DEB"/>
    <w:rsid w:val="00924027"/>
    <w:rsid w:val="00924385"/>
    <w:rsid w:val="00924C01"/>
    <w:rsid w:val="009252CF"/>
    <w:rsid w:val="00925DA6"/>
    <w:rsid w:val="009273B1"/>
    <w:rsid w:val="009277D2"/>
    <w:rsid w:val="00927842"/>
    <w:rsid w:val="0093018A"/>
    <w:rsid w:val="009301AA"/>
    <w:rsid w:val="009305EF"/>
    <w:rsid w:val="009309C0"/>
    <w:rsid w:val="00931054"/>
    <w:rsid w:val="00931B53"/>
    <w:rsid w:val="00932274"/>
    <w:rsid w:val="00932570"/>
    <w:rsid w:val="009337B0"/>
    <w:rsid w:val="00933FA9"/>
    <w:rsid w:val="00934111"/>
    <w:rsid w:val="009348D7"/>
    <w:rsid w:val="00935076"/>
    <w:rsid w:val="00935DF7"/>
    <w:rsid w:val="0093618A"/>
    <w:rsid w:val="009363E7"/>
    <w:rsid w:val="00936B1D"/>
    <w:rsid w:val="0093729D"/>
    <w:rsid w:val="00937D41"/>
    <w:rsid w:val="0094182B"/>
    <w:rsid w:val="0094187E"/>
    <w:rsid w:val="009420B0"/>
    <w:rsid w:val="00942824"/>
    <w:rsid w:val="00942ACE"/>
    <w:rsid w:val="00945C67"/>
    <w:rsid w:val="00950ADF"/>
    <w:rsid w:val="0095160E"/>
    <w:rsid w:val="00951863"/>
    <w:rsid w:val="00951E62"/>
    <w:rsid w:val="009522AC"/>
    <w:rsid w:val="00952C33"/>
    <w:rsid w:val="00952C89"/>
    <w:rsid w:val="00952FA6"/>
    <w:rsid w:val="0095384B"/>
    <w:rsid w:val="00953964"/>
    <w:rsid w:val="00954DCE"/>
    <w:rsid w:val="00955C36"/>
    <w:rsid w:val="00956510"/>
    <w:rsid w:val="00956F47"/>
    <w:rsid w:val="00961926"/>
    <w:rsid w:val="00962103"/>
    <w:rsid w:val="009621A5"/>
    <w:rsid w:val="009628BD"/>
    <w:rsid w:val="009629BE"/>
    <w:rsid w:val="00963D43"/>
    <w:rsid w:val="00963F40"/>
    <w:rsid w:val="0096458B"/>
    <w:rsid w:val="009667A5"/>
    <w:rsid w:val="009670F1"/>
    <w:rsid w:val="00967319"/>
    <w:rsid w:val="0096772E"/>
    <w:rsid w:val="00967C59"/>
    <w:rsid w:val="00970A4B"/>
    <w:rsid w:val="00970F12"/>
    <w:rsid w:val="0097252B"/>
    <w:rsid w:val="009726EA"/>
    <w:rsid w:val="009727FF"/>
    <w:rsid w:val="009750DD"/>
    <w:rsid w:val="009752A8"/>
    <w:rsid w:val="00975711"/>
    <w:rsid w:val="00975B60"/>
    <w:rsid w:val="00976B54"/>
    <w:rsid w:val="00977331"/>
    <w:rsid w:val="00980983"/>
    <w:rsid w:val="0098144F"/>
    <w:rsid w:val="00981BC1"/>
    <w:rsid w:val="00982265"/>
    <w:rsid w:val="00982B0E"/>
    <w:rsid w:val="00983105"/>
    <w:rsid w:val="0098333C"/>
    <w:rsid w:val="009835E0"/>
    <w:rsid w:val="00984778"/>
    <w:rsid w:val="009847A7"/>
    <w:rsid w:val="0098492C"/>
    <w:rsid w:val="00984CBD"/>
    <w:rsid w:val="00987645"/>
    <w:rsid w:val="00990453"/>
    <w:rsid w:val="0099050F"/>
    <w:rsid w:val="00991339"/>
    <w:rsid w:val="0099179C"/>
    <w:rsid w:val="0099221B"/>
    <w:rsid w:val="00992394"/>
    <w:rsid w:val="009925E9"/>
    <w:rsid w:val="009927F8"/>
    <w:rsid w:val="00992E45"/>
    <w:rsid w:val="009941E6"/>
    <w:rsid w:val="009944EF"/>
    <w:rsid w:val="00994EF6"/>
    <w:rsid w:val="009950BC"/>
    <w:rsid w:val="009951DB"/>
    <w:rsid w:val="00995227"/>
    <w:rsid w:val="00995712"/>
    <w:rsid w:val="00996121"/>
    <w:rsid w:val="0099686A"/>
    <w:rsid w:val="00997913"/>
    <w:rsid w:val="00997AB1"/>
    <w:rsid w:val="009A1DD0"/>
    <w:rsid w:val="009A425A"/>
    <w:rsid w:val="009A42CA"/>
    <w:rsid w:val="009A5E89"/>
    <w:rsid w:val="009A6447"/>
    <w:rsid w:val="009A6EFF"/>
    <w:rsid w:val="009A7A01"/>
    <w:rsid w:val="009B161B"/>
    <w:rsid w:val="009B4758"/>
    <w:rsid w:val="009B5098"/>
    <w:rsid w:val="009B5B9A"/>
    <w:rsid w:val="009B5B9D"/>
    <w:rsid w:val="009B6B6E"/>
    <w:rsid w:val="009B6CD9"/>
    <w:rsid w:val="009B6E8E"/>
    <w:rsid w:val="009B7AA0"/>
    <w:rsid w:val="009C0600"/>
    <w:rsid w:val="009C0D3C"/>
    <w:rsid w:val="009C1702"/>
    <w:rsid w:val="009C1D25"/>
    <w:rsid w:val="009C2321"/>
    <w:rsid w:val="009C2483"/>
    <w:rsid w:val="009C2C4C"/>
    <w:rsid w:val="009C37E5"/>
    <w:rsid w:val="009C383D"/>
    <w:rsid w:val="009C3C83"/>
    <w:rsid w:val="009C3DF5"/>
    <w:rsid w:val="009C46A5"/>
    <w:rsid w:val="009C56C3"/>
    <w:rsid w:val="009C62E4"/>
    <w:rsid w:val="009D0D3A"/>
    <w:rsid w:val="009D17D5"/>
    <w:rsid w:val="009D20C3"/>
    <w:rsid w:val="009D398B"/>
    <w:rsid w:val="009D66E9"/>
    <w:rsid w:val="009D69A9"/>
    <w:rsid w:val="009D7009"/>
    <w:rsid w:val="009D7948"/>
    <w:rsid w:val="009E2519"/>
    <w:rsid w:val="009E295C"/>
    <w:rsid w:val="009E2AED"/>
    <w:rsid w:val="009E3091"/>
    <w:rsid w:val="009E4486"/>
    <w:rsid w:val="009E4760"/>
    <w:rsid w:val="009E499F"/>
    <w:rsid w:val="009E6132"/>
    <w:rsid w:val="009E75AE"/>
    <w:rsid w:val="009E7C3D"/>
    <w:rsid w:val="009F0036"/>
    <w:rsid w:val="009F162E"/>
    <w:rsid w:val="009F17D2"/>
    <w:rsid w:val="009F1B49"/>
    <w:rsid w:val="009F3EE5"/>
    <w:rsid w:val="009F5F71"/>
    <w:rsid w:val="009F6732"/>
    <w:rsid w:val="009F711E"/>
    <w:rsid w:val="009F7EBD"/>
    <w:rsid w:val="00A0035C"/>
    <w:rsid w:val="00A011B4"/>
    <w:rsid w:val="00A01F9F"/>
    <w:rsid w:val="00A025A4"/>
    <w:rsid w:val="00A03738"/>
    <w:rsid w:val="00A03B50"/>
    <w:rsid w:val="00A03C97"/>
    <w:rsid w:val="00A03CBC"/>
    <w:rsid w:val="00A0434B"/>
    <w:rsid w:val="00A05052"/>
    <w:rsid w:val="00A05566"/>
    <w:rsid w:val="00A0561B"/>
    <w:rsid w:val="00A05BFF"/>
    <w:rsid w:val="00A12890"/>
    <w:rsid w:val="00A13499"/>
    <w:rsid w:val="00A1405D"/>
    <w:rsid w:val="00A20430"/>
    <w:rsid w:val="00A20AC7"/>
    <w:rsid w:val="00A217AB"/>
    <w:rsid w:val="00A21914"/>
    <w:rsid w:val="00A22611"/>
    <w:rsid w:val="00A22892"/>
    <w:rsid w:val="00A23344"/>
    <w:rsid w:val="00A23C4E"/>
    <w:rsid w:val="00A24875"/>
    <w:rsid w:val="00A24881"/>
    <w:rsid w:val="00A24923"/>
    <w:rsid w:val="00A25097"/>
    <w:rsid w:val="00A25F12"/>
    <w:rsid w:val="00A26D3B"/>
    <w:rsid w:val="00A27AD7"/>
    <w:rsid w:val="00A27F21"/>
    <w:rsid w:val="00A302D6"/>
    <w:rsid w:val="00A3065D"/>
    <w:rsid w:val="00A338BC"/>
    <w:rsid w:val="00A34A58"/>
    <w:rsid w:val="00A357F0"/>
    <w:rsid w:val="00A35919"/>
    <w:rsid w:val="00A3628E"/>
    <w:rsid w:val="00A36F0A"/>
    <w:rsid w:val="00A36FF1"/>
    <w:rsid w:val="00A3743D"/>
    <w:rsid w:val="00A374D9"/>
    <w:rsid w:val="00A37760"/>
    <w:rsid w:val="00A37785"/>
    <w:rsid w:val="00A4093C"/>
    <w:rsid w:val="00A41EE9"/>
    <w:rsid w:val="00A41FA8"/>
    <w:rsid w:val="00A42082"/>
    <w:rsid w:val="00A44728"/>
    <w:rsid w:val="00A44801"/>
    <w:rsid w:val="00A44C29"/>
    <w:rsid w:val="00A455BF"/>
    <w:rsid w:val="00A45730"/>
    <w:rsid w:val="00A470AC"/>
    <w:rsid w:val="00A474BD"/>
    <w:rsid w:val="00A4787D"/>
    <w:rsid w:val="00A507F8"/>
    <w:rsid w:val="00A50B9A"/>
    <w:rsid w:val="00A52184"/>
    <w:rsid w:val="00A52204"/>
    <w:rsid w:val="00A5391C"/>
    <w:rsid w:val="00A53F69"/>
    <w:rsid w:val="00A54682"/>
    <w:rsid w:val="00A54942"/>
    <w:rsid w:val="00A55D19"/>
    <w:rsid w:val="00A56023"/>
    <w:rsid w:val="00A5651F"/>
    <w:rsid w:val="00A60DCB"/>
    <w:rsid w:val="00A6106C"/>
    <w:rsid w:val="00A62AF6"/>
    <w:rsid w:val="00A62E16"/>
    <w:rsid w:val="00A62EE1"/>
    <w:rsid w:val="00A62F9E"/>
    <w:rsid w:val="00A633C7"/>
    <w:rsid w:val="00A6497E"/>
    <w:rsid w:val="00A64B87"/>
    <w:rsid w:val="00A653D7"/>
    <w:rsid w:val="00A66699"/>
    <w:rsid w:val="00A70744"/>
    <w:rsid w:val="00A70FC3"/>
    <w:rsid w:val="00A71208"/>
    <w:rsid w:val="00A7282A"/>
    <w:rsid w:val="00A7326C"/>
    <w:rsid w:val="00A734FD"/>
    <w:rsid w:val="00A73BEB"/>
    <w:rsid w:val="00A73C23"/>
    <w:rsid w:val="00A73FE6"/>
    <w:rsid w:val="00A7513C"/>
    <w:rsid w:val="00A75303"/>
    <w:rsid w:val="00A7595B"/>
    <w:rsid w:val="00A75DB7"/>
    <w:rsid w:val="00A7623E"/>
    <w:rsid w:val="00A767D8"/>
    <w:rsid w:val="00A77071"/>
    <w:rsid w:val="00A770AB"/>
    <w:rsid w:val="00A77B46"/>
    <w:rsid w:val="00A8001A"/>
    <w:rsid w:val="00A80A6B"/>
    <w:rsid w:val="00A81C99"/>
    <w:rsid w:val="00A822E0"/>
    <w:rsid w:val="00A83C6C"/>
    <w:rsid w:val="00A83FFF"/>
    <w:rsid w:val="00A84C95"/>
    <w:rsid w:val="00A84CCB"/>
    <w:rsid w:val="00A85864"/>
    <w:rsid w:val="00A86E75"/>
    <w:rsid w:val="00A871D9"/>
    <w:rsid w:val="00A8796B"/>
    <w:rsid w:val="00A90BA0"/>
    <w:rsid w:val="00A910FA"/>
    <w:rsid w:val="00A92C31"/>
    <w:rsid w:val="00A92CAC"/>
    <w:rsid w:val="00A93856"/>
    <w:rsid w:val="00A94094"/>
    <w:rsid w:val="00A96098"/>
    <w:rsid w:val="00A97557"/>
    <w:rsid w:val="00A9784D"/>
    <w:rsid w:val="00AA0418"/>
    <w:rsid w:val="00AA0A68"/>
    <w:rsid w:val="00AA1253"/>
    <w:rsid w:val="00AA1326"/>
    <w:rsid w:val="00AA1ADB"/>
    <w:rsid w:val="00AA316C"/>
    <w:rsid w:val="00AA3390"/>
    <w:rsid w:val="00AA3668"/>
    <w:rsid w:val="00AA36A7"/>
    <w:rsid w:val="00AA39AD"/>
    <w:rsid w:val="00AA56FA"/>
    <w:rsid w:val="00AA58E4"/>
    <w:rsid w:val="00AA6F56"/>
    <w:rsid w:val="00AA75D2"/>
    <w:rsid w:val="00AA7D65"/>
    <w:rsid w:val="00AB0966"/>
    <w:rsid w:val="00AB10FE"/>
    <w:rsid w:val="00AB1DD0"/>
    <w:rsid w:val="00AB4D24"/>
    <w:rsid w:val="00AB5FDD"/>
    <w:rsid w:val="00AC072A"/>
    <w:rsid w:val="00AC1346"/>
    <w:rsid w:val="00AC1394"/>
    <w:rsid w:val="00AC2E6F"/>
    <w:rsid w:val="00AC2F37"/>
    <w:rsid w:val="00AC36C4"/>
    <w:rsid w:val="00AC4F2B"/>
    <w:rsid w:val="00AC539C"/>
    <w:rsid w:val="00AC6B22"/>
    <w:rsid w:val="00AC6BE4"/>
    <w:rsid w:val="00AC7C2D"/>
    <w:rsid w:val="00AD0923"/>
    <w:rsid w:val="00AD0A8F"/>
    <w:rsid w:val="00AD0D5A"/>
    <w:rsid w:val="00AD0DF6"/>
    <w:rsid w:val="00AD2D3E"/>
    <w:rsid w:val="00AD303B"/>
    <w:rsid w:val="00AD3061"/>
    <w:rsid w:val="00AD321A"/>
    <w:rsid w:val="00AD3DF2"/>
    <w:rsid w:val="00AD6310"/>
    <w:rsid w:val="00AD63FF"/>
    <w:rsid w:val="00AD6429"/>
    <w:rsid w:val="00AD75D2"/>
    <w:rsid w:val="00AE0DDD"/>
    <w:rsid w:val="00AE2482"/>
    <w:rsid w:val="00AE2EBB"/>
    <w:rsid w:val="00AE4EDA"/>
    <w:rsid w:val="00AE5106"/>
    <w:rsid w:val="00AE72DA"/>
    <w:rsid w:val="00AF0CC9"/>
    <w:rsid w:val="00AF19EE"/>
    <w:rsid w:val="00AF278E"/>
    <w:rsid w:val="00AF2A5A"/>
    <w:rsid w:val="00AF301C"/>
    <w:rsid w:val="00AF3492"/>
    <w:rsid w:val="00AF4659"/>
    <w:rsid w:val="00AF477F"/>
    <w:rsid w:val="00AF4FBA"/>
    <w:rsid w:val="00AF4FC7"/>
    <w:rsid w:val="00AF59D0"/>
    <w:rsid w:val="00AF778A"/>
    <w:rsid w:val="00B001F9"/>
    <w:rsid w:val="00B00AE8"/>
    <w:rsid w:val="00B02C40"/>
    <w:rsid w:val="00B0342D"/>
    <w:rsid w:val="00B04876"/>
    <w:rsid w:val="00B04AD2"/>
    <w:rsid w:val="00B050D6"/>
    <w:rsid w:val="00B05333"/>
    <w:rsid w:val="00B05588"/>
    <w:rsid w:val="00B05C5A"/>
    <w:rsid w:val="00B06883"/>
    <w:rsid w:val="00B06F6B"/>
    <w:rsid w:val="00B10140"/>
    <w:rsid w:val="00B10182"/>
    <w:rsid w:val="00B110DD"/>
    <w:rsid w:val="00B12697"/>
    <w:rsid w:val="00B137F0"/>
    <w:rsid w:val="00B13BFA"/>
    <w:rsid w:val="00B13C1A"/>
    <w:rsid w:val="00B140ED"/>
    <w:rsid w:val="00B14935"/>
    <w:rsid w:val="00B14C62"/>
    <w:rsid w:val="00B15219"/>
    <w:rsid w:val="00B15D08"/>
    <w:rsid w:val="00B163D5"/>
    <w:rsid w:val="00B171FA"/>
    <w:rsid w:val="00B17383"/>
    <w:rsid w:val="00B1741A"/>
    <w:rsid w:val="00B17D02"/>
    <w:rsid w:val="00B20DBC"/>
    <w:rsid w:val="00B211D3"/>
    <w:rsid w:val="00B21EBF"/>
    <w:rsid w:val="00B22064"/>
    <w:rsid w:val="00B225A3"/>
    <w:rsid w:val="00B233F6"/>
    <w:rsid w:val="00B236B6"/>
    <w:rsid w:val="00B2383B"/>
    <w:rsid w:val="00B25107"/>
    <w:rsid w:val="00B27504"/>
    <w:rsid w:val="00B30191"/>
    <w:rsid w:val="00B307A2"/>
    <w:rsid w:val="00B33CF5"/>
    <w:rsid w:val="00B33D8B"/>
    <w:rsid w:val="00B345CD"/>
    <w:rsid w:val="00B3485D"/>
    <w:rsid w:val="00B369EE"/>
    <w:rsid w:val="00B37689"/>
    <w:rsid w:val="00B37818"/>
    <w:rsid w:val="00B37A46"/>
    <w:rsid w:val="00B414EA"/>
    <w:rsid w:val="00B4167A"/>
    <w:rsid w:val="00B42A38"/>
    <w:rsid w:val="00B455FC"/>
    <w:rsid w:val="00B45EFC"/>
    <w:rsid w:val="00B46408"/>
    <w:rsid w:val="00B46CB0"/>
    <w:rsid w:val="00B47FED"/>
    <w:rsid w:val="00B51892"/>
    <w:rsid w:val="00B51BD0"/>
    <w:rsid w:val="00B51DF7"/>
    <w:rsid w:val="00B52CC0"/>
    <w:rsid w:val="00B54CA7"/>
    <w:rsid w:val="00B556A9"/>
    <w:rsid w:val="00B558B1"/>
    <w:rsid w:val="00B570EA"/>
    <w:rsid w:val="00B573B5"/>
    <w:rsid w:val="00B57B9B"/>
    <w:rsid w:val="00B60625"/>
    <w:rsid w:val="00B61B79"/>
    <w:rsid w:val="00B61D6D"/>
    <w:rsid w:val="00B61E8B"/>
    <w:rsid w:val="00B627D5"/>
    <w:rsid w:val="00B62F6A"/>
    <w:rsid w:val="00B63819"/>
    <w:rsid w:val="00B63B9A"/>
    <w:rsid w:val="00B657B9"/>
    <w:rsid w:val="00B65F53"/>
    <w:rsid w:val="00B6659E"/>
    <w:rsid w:val="00B66CFD"/>
    <w:rsid w:val="00B67114"/>
    <w:rsid w:val="00B67360"/>
    <w:rsid w:val="00B67568"/>
    <w:rsid w:val="00B702DD"/>
    <w:rsid w:val="00B70397"/>
    <w:rsid w:val="00B7174B"/>
    <w:rsid w:val="00B722C7"/>
    <w:rsid w:val="00B72825"/>
    <w:rsid w:val="00B738A2"/>
    <w:rsid w:val="00B741F3"/>
    <w:rsid w:val="00B75A01"/>
    <w:rsid w:val="00B76408"/>
    <w:rsid w:val="00B77B19"/>
    <w:rsid w:val="00B831E8"/>
    <w:rsid w:val="00B8338A"/>
    <w:rsid w:val="00B83584"/>
    <w:rsid w:val="00B85AA5"/>
    <w:rsid w:val="00B86235"/>
    <w:rsid w:val="00B866BE"/>
    <w:rsid w:val="00B8700E"/>
    <w:rsid w:val="00B90107"/>
    <w:rsid w:val="00B909D3"/>
    <w:rsid w:val="00B90F43"/>
    <w:rsid w:val="00B91155"/>
    <w:rsid w:val="00B91179"/>
    <w:rsid w:val="00B916CE"/>
    <w:rsid w:val="00B920B4"/>
    <w:rsid w:val="00B92886"/>
    <w:rsid w:val="00B95099"/>
    <w:rsid w:val="00B9588D"/>
    <w:rsid w:val="00B97354"/>
    <w:rsid w:val="00B97E45"/>
    <w:rsid w:val="00BA2117"/>
    <w:rsid w:val="00BA2422"/>
    <w:rsid w:val="00BA2B7A"/>
    <w:rsid w:val="00BA313C"/>
    <w:rsid w:val="00BA3B07"/>
    <w:rsid w:val="00BA3F63"/>
    <w:rsid w:val="00BA418E"/>
    <w:rsid w:val="00BA588A"/>
    <w:rsid w:val="00BA6420"/>
    <w:rsid w:val="00BA6A7D"/>
    <w:rsid w:val="00BA74A2"/>
    <w:rsid w:val="00BB0429"/>
    <w:rsid w:val="00BB05F9"/>
    <w:rsid w:val="00BB0682"/>
    <w:rsid w:val="00BB32A1"/>
    <w:rsid w:val="00BB3399"/>
    <w:rsid w:val="00BB3B52"/>
    <w:rsid w:val="00BB3C00"/>
    <w:rsid w:val="00BB4973"/>
    <w:rsid w:val="00BB5360"/>
    <w:rsid w:val="00BB62B1"/>
    <w:rsid w:val="00BB64A4"/>
    <w:rsid w:val="00BB6C94"/>
    <w:rsid w:val="00BB759A"/>
    <w:rsid w:val="00BB7B45"/>
    <w:rsid w:val="00BC0074"/>
    <w:rsid w:val="00BC1285"/>
    <w:rsid w:val="00BC140B"/>
    <w:rsid w:val="00BC1D97"/>
    <w:rsid w:val="00BC2964"/>
    <w:rsid w:val="00BC315E"/>
    <w:rsid w:val="00BC45E8"/>
    <w:rsid w:val="00BC4D3E"/>
    <w:rsid w:val="00BC4FC6"/>
    <w:rsid w:val="00BC510D"/>
    <w:rsid w:val="00BC5528"/>
    <w:rsid w:val="00BC663F"/>
    <w:rsid w:val="00BC7286"/>
    <w:rsid w:val="00BC768C"/>
    <w:rsid w:val="00BD05CC"/>
    <w:rsid w:val="00BD112F"/>
    <w:rsid w:val="00BD2358"/>
    <w:rsid w:val="00BD2E47"/>
    <w:rsid w:val="00BD327E"/>
    <w:rsid w:val="00BD33AF"/>
    <w:rsid w:val="00BD3A6F"/>
    <w:rsid w:val="00BD3A99"/>
    <w:rsid w:val="00BD3D7E"/>
    <w:rsid w:val="00BD3E45"/>
    <w:rsid w:val="00BD4190"/>
    <w:rsid w:val="00BD49C3"/>
    <w:rsid w:val="00BD51CC"/>
    <w:rsid w:val="00BD75C1"/>
    <w:rsid w:val="00BE0282"/>
    <w:rsid w:val="00BE12B0"/>
    <w:rsid w:val="00BE2343"/>
    <w:rsid w:val="00BE370C"/>
    <w:rsid w:val="00BE3DD3"/>
    <w:rsid w:val="00BE4313"/>
    <w:rsid w:val="00BE7672"/>
    <w:rsid w:val="00BF08AB"/>
    <w:rsid w:val="00BF09CE"/>
    <w:rsid w:val="00BF11A0"/>
    <w:rsid w:val="00BF196A"/>
    <w:rsid w:val="00BF1B40"/>
    <w:rsid w:val="00BF1CFB"/>
    <w:rsid w:val="00BF24A2"/>
    <w:rsid w:val="00BF2DEC"/>
    <w:rsid w:val="00BF4595"/>
    <w:rsid w:val="00BF4DE6"/>
    <w:rsid w:val="00BF519A"/>
    <w:rsid w:val="00BF539C"/>
    <w:rsid w:val="00BF53F7"/>
    <w:rsid w:val="00BF620B"/>
    <w:rsid w:val="00BF6A89"/>
    <w:rsid w:val="00BF6C03"/>
    <w:rsid w:val="00BF750F"/>
    <w:rsid w:val="00C00901"/>
    <w:rsid w:val="00C00A4A"/>
    <w:rsid w:val="00C00A73"/>
    <w:rsid w:val="00C00D8C"/>
    <w:rsid w:val="00C00EB9"/>
    <w:rsid w:val="00C0160E"/>
    <w:rsid w:val="00C025F6"/>
    <w:rsid w:val="00C0268B"/>
    <w:rsid w:val="00C028C2"/>
    <w:rsid w:val="00C03252"/>
    <w:rsid w:val="00C03849"/>
    <w:rsid w:val="00C03A5C"/>
    <w:rsid w:val="00C03BC8"/>
    <w:rsid w:val="00C04DC9"/>
    <w:rsid w:val="00C05423"/>
    <w:rsid w:val="00C06226"/>
    <w:rsid w:val="00C062D9"/>
    <w:rsid w:val="00C067DE"/>
    <w:rsid w:val="00C06819"/>
    <w:rsid w:val="00C07FB8"/>
    <w:rsid w:val="00C101F1"/>
    <w:rsid w:val="00C12B36"/>
    <w:rsid w:val="00C143C6"/>
    <w:rsid w:val="00C147C7"/>
    <w:rsid w:val="00C14B02"/>
    <w:rsid w:val="00C14FEB"/>
    <w:rsid w:val="00C1651C"/>
    <w:rsid w:val="00C16680"/>
    <w:rsid w:val="00C1796A"/>
    <w:rsid w:val="00C17A29"/>
    <w:rsid w:val="00C17C31"/>
    <w:rsid w:val="00C17F6C"/>
    <w:rsid w:val="00C208A0"/>
    <w:rsid w:val="00C2223D"/>
    <w:rsid w:val="00C2232F"/>
    <w:rsid w:val="00C226F8"/>
    <w:rsid w:val="00C227AE"/>
    <w:rsid w:val="00C22866"/>
    <w:rsid w:val="00C23274"/>
    <w:rsid w:val="00C23843"/>
    <w:rsid w:val="00C248F3"/>
    <w:rsid w:val="00C2532A"/>
    <w:rsid w:val="00C27DFA"/>
    <w:rsid w:val="00C3020C"/>
    <w:rsid w:val="00C304C5"/>
    <w:rsid w:val="00C30867"/>
    <w:rsid w:val="00C30DC5"/>
    <w:rsid w:val="00C32D83"/>
    <w:rsid w:val="00C32F25"/>
    <w:rsid w:val="00C33F54"/>
    <w:rsid w:val="00C34C0D"/>
    <w:rsid w:val="00C362AC"/>
    <w:rsid w:val="00C367C3"/>
    <w:rsid w:val="00C3709F"/>
    <w:rsid w:val="00C41030"/>
    <w:rsid w:val="00C41508"/>
    <w:rsid w:val="00C41A10"/>
    <w:rsid w:val="00C426C9"/>
    <w:rsid w:val="00C42882"/>
    <w:rsid w:val="00C42F7C"/>
    <w:rsid w:val="00C4378C"/>
    <w:rsid w:val="00C4456F"/>
    <w:rsid w:val="00C44946"/>
    <w:rsid w:val="00C4583D"/>
    <w:rsid w:val="00C4583E"/>
    <w:rsid w:val="00C45ACD"/>
    <w:rsid w:val="00C46118"/>
    <w:rsid w:val="00C46E76"/>
    <w:rsid w:val="00C47F46"/>
    <w:rsid w:val="00C50701"/>
    <w:rsid w:val="00C50F01"/>
    <w:rsid w:val="00C5163F"/>
    <w:rsid w:val="00C518E8"/>
    <w:rsid w:val="00C52CE0"/>
    <w:rsid w:val="00C545AD"/>
    <w:rsid w:val="00C54A1F"/>
    <w:rsid w:val="00C5557B"/>
    <w:rsid w:val="00C55CAC"/>
    <w:rsid w:val="00C62026"/>
    <w:rsid w:val="00C62EEC"/>
    <w:rsid w:val="00C63007"/>
    <w:rsid w:val="00C6395C"/>
    <w:rsid w:val="00C63ABD"/>
    <w:rsid w:val="00C641FA"/>
    <w:rsid w:val="00C64AAB"/>
    <w:rsid w:val="00C65897"/>
    <w:rsid w:val="00C662B3"/>
    <w:rsid w:val="00C671EA"/>
    <w:rsid w:val="00C67D80"/>
    <w:rsid w:val="00C70981"/>
    <w:rsid w:val="00C7169B"/>
    <w:rsid w:val="00C72787"/>
    <w:rsid w:val="00C73479"/>
    <w:rsid w:val="00C73515"/>
    <w:rsid w:val="00C73FA2"/>
    <w:rsid w:val="00C7487B"/>
    <w:rsid w:val="00C74894"/>
    <w:rsid w:val="00C74DBD"/>
    <w:rsid w:val="00C7576E"/>
    <w:rsid w:val="00C760C8"/>
    <w:rsid w:val="00C76501"/>
    <w:rsid w:val="00C765CB"/>
    <w:rsid w:val="00C76944"/>
    <w:rsid w:val="00C80EED"/>
    <w:rsid w:val="00C80F52"/>
    <w:rsid w:val="00C813DA"/>
    <w:rsid w:val="00C8169E"/>
    <w:rsid w:val="00C81819"/>
    <w:rsid w:val="00C82A15"/>
    <w:rsid w:val="00C82CE2"/>
    <w:rsid w:val="00C83358"/>
    <w:rsid w:val="00C83709"/>
    <w:rsid w:val="00C84776"/>
    <w:rsid w:val="00C8614C"/>
    <w:rsid w:val="00C86935"/>
    <w:rsid w:val="00C87101"/>
    <w:rsid w:val="00C87E58"/>
    <w:rsid w:val="00C9168B"/>
    <w:rsid w:val="00C926A6"/>
    <w:rsid w:val="00C93FBA"/>
    <w:rsid w:val="00C94C58"/>
    <w:rsid w:val="00C95C6E"/>
    <w:rsid w:val="00C96CD8"/>
    <w:rsid w:val="00C96CFF"/>
    <w:rsid w:val="00C9720C"/>
    <w:rsid w:val="00CA0B9F"/>
    <w:rsid w:val="00CA1770"/>
    <w:rsid w:val="00CA1C07"/>
    <w:rsid w:val="00CA3246"/>
    <w:rsid w:val="00CA3F7E"/>
    <w:rsid w:val="00CA425D"/>
    <w:rsid w:val="00CA7189"/>
    <w:rsid w:val="00CA7888"/>
    <w:rsid w:val="00CA799D"/>
    <w:rsid w:val="00CB0D86"/>
    <w:rsid w:val="00CB1092"/>
    <w:rsid w:val="00CB2554"/>
    <w:rsid w:val="00CB3813"/>
    <w:rsid w:val="00CB3ACE"/>
    <w:rsid w:val="00CB4B1A"/>
    <w:rsid w:val="00CB4EE9"/>
    <w:rsid w:val="00CB5604"/>
    <w:rsid w:val="00CB5A09"/>
    <w:rsid w:val="00CB5D33"/>
    <w:rsid w:val="00CB766D"/>
    <w:rsid w:val="00CC0423"/>
    <w:rsid w:val="00CC0A23"/>
    <w:rsid w:val="00CC0D54"/>
    <w:rsid w:val="00CC0EEF"/>
    <w:rsid w:val="00CC16DF"/>
    <w:rsid w:val="00CC1B3A"/>
    <w:rsid w:val="00CC2522"/>
    <w:rsid w:val="00CC4B84"/>
    <w:rsid w:val="00CC5520"/>
    <w:rsid w:val="00CC5AEB"/>
    <w:rsid w:val="00CC6821"/>
    <w:rsid w:val="00CC6979"/>
    <w:rsid w:val="00CC6F39"/>
    <w:rsid w:val="00CC77FE"/>
    <w:rsid w:val="00CC794F"/>
    <w:rsid w:val="00CD02AB"/>
    <w:rsid w:val="00CD0559"/>
    <w:rsid w:val="00CD3A67"/>
    <w:rsid w:val="00CD3C4D"/>
    <w:rsid w:val="00CD44BB"/>
    <w:rsid w:val="00CD5460"/>
    <w:rsid w:val="00CD5498"/>
    <w:rsid w:val="00CD742E"/>
    <w:rsid w:val="00CE0416"/>
    <w:rsid w:val="00CE0D4C"/>
    <w:rsid w:val="00CE0F53"/>
    <w:rsid w:val="00CE128F"/>
    <w:rsid w:val="00CE15A4"/>
    <w:rsid w:val="00CE1C64"/>
    <w:rsid w:val="00CE2586"/>
    <w:rsid w:val="00CE3380"/>
    <w:rsid w:val="00CE3BD2"/>
    <w:rsid w:val="00CE3F12"/>
    <w:rsid w:val="00CE418C"/>
    <w:rsid w:val="00CE4A25"/>
    <w:rsid w:val="00CE5458"/>
    <w:rsid w:val="00CE5C27"/>
    <w:rsid w:val="00CE6D05"/>
    <w:rsid w:val="00CE7F36"/>
    <w:rsid w:val="00CF019A"/>
    <w:rsid w:val="00CF2771"/>
    <w:rsid w:val="00CF4089"/>
    <w:rsid w:val="00CF5929"/>
    <w:rsid w:val="00CF6CAC"/>
    <w:rsid w:val="00CF798E"/>
    <w:rsid w:val="00CF7D58"/>
    <w:rsid w:val="00D00BDD"/>
    <w:rsid w:val="00D025A1"/>
    <w:rsid w:val="00D02B3E"/>
    <w:rsid w:val="00D02CE2"/>
    <w:rsid w:val="00D03393"/>
    <w:rsid w:val="00D03A5C"/>
    <w:rsid w:val="00D04977"/>
    <w:rsid w:val="00D04FB8"/>
    <w:rsid w:val="00D05219"/>
    <w:rsid w:val="00D05935"/>
    <w:rsid w:val="00D059FD"/>
    <w:rsid w:val="00D067D5"/>
    <w:rsid w:val="00D0715E"/>
    <w:rsid w:val="00D071BC"/>
    <w:rsid w:val="00D074D0"/>
    <w:rsid w:val="00D07720"/>
    <w:rsid w:val="00D106D5"/>
    <w:rsid w:val="00D110BE"/>
    <w:rsid w:val="00D11684"/>
    <w:rsid w:val="00D120A7"/>
    <w:rsid w:val="00D12B85"/>
    <w:rsid w:val="00D13C08"/>
    <w:rsid w:val="00D1496C"/>
    <w:rsid w:val="00D1598F"/>
    <w:rsid w:val="00D15ADA"/>
    <w:rsid w:val="00D16ED8"/>
    <w:rsid w:val="00D20912"/>
    <w:rsid w:val="00D20B9D"/>
    <w:rsid w:val="00D2301D"/>
    <w:rsid w:val="00D2428F"/>
    <w:rsid w:val="00D25249"/>
    <w:rsid w:val="00D254CA"/>
    <w:rsid w:val="00D257C1"/>
    <w:rsid w:val="00D25852"/>
    <w:rsid w:val="00D30645"/>
    <w:rsid w:val="00D30955"/>
    <w:rsid w:val="00D30BC0"/>
    <w:rsid w:val="00D31A09"/>
    <w:rsid w:val="00D31B48"/>
    <w:rsid w:val="00D31F35"/>
    <w:rsid w:val="00D33191"/>
    <w:rsid w:val="00D3451F"/>
    <w:rsid w:val="00D3458D"/>
    <w:rsid w:val="00D34A90"/>
    <w:rsid w:val="00D34D66"/>
    <w:rsid w:val="00D3532F"/>
    <w:rsid w:val="00D36666"/>
    <w:rsid w:val="00D36BFB"/>
    <w:rsid w:val="00D37D3F"/>
    <w:rsid w:val="00D409FE"/>
    <w:rsid w:val="00D40ABE"/>
    <w:rsid w:val="00D41970"/>
    <w:rsid w:val="00D41BAD"/>
    <w:rsid w:val="00D442E5"/>
    <w:rsid w:val="00D44EEB"/>
    <w:rsid w:val="00D45FB9"/>
    <w:rsid w:val="00D47D44"/>
    <w:rsid w:val="00D50415"/>
    <w:rsid w:val="00D509D0"/>
    <w:rsid w:val="00D50E9F"/>
    <w:rsid w:val="00D5316F"/>
    <w:rsid w:val="00D5400E"/>
    <w:rsid w:val="00D550D9"/>
    <w:rsid w:val="00D55E45"/>
    <w:rsid w:val="00D56480"/>
    <w:rsid w:val="00D565C4"/>
    <w:rsid w:val="00D5784A"/>
    <w:rsid w:val="00D578FD"/>
    <w:rsid w:val="00D6046B"/>
    <w:rsid w:val="00D62559"/>
    <w:rsid w:val="00D63162"/>
    <w:rsid w:val="00D63C15"/>
    <w:rsid w:val="00D63FC9"/>
    <w:rsid w:val="00D64400"/>
    <w:rsid w:val="00D65089"/>
    <w:rsid w:val="00D6601D"/>
    <w:rsid w:val="00D6680E"/>
    <w:rsid w:val="00D67967"/>
    <w:rsid w:val="00D70C97"/>
    <w:rsid w:val="00D7170C"/>
    <w:rsid w:val="00D71C7F"/>
    <w:rsid w:val="00D720D4"/>
    <w:rsid w:val="00D720D9"/>
    <w:rsid w:val="00D723F9"/>
    <w:rsid w:val="00D74A8F"/>
    <w:rsid w:val="00D7612F"/>
    <w:rsid w:val="00D76C2A"/>
    <w:rsid w:val="00D77C78"/>
    <w:rsid w:val="00D802A1"/>
    <w:rsid w:val="00D804AF"/>
    <w:rsid w:val="00D85995"/>
    <w:rsid w:val="00D86B47"/>
    <w:rsid w:val="00D8746A"/>
    <w:rsid w:val="00D877EE"/>
    <w:rsid w:val="00D879B5"/>
    <w:rsid w:val="00D90054"/>
    <w:rsid w:val="00D904CB"/>
    <w:rsid w:val="00D90B6F"/>
    <w:rsid w:val="00D90C5B"/>
    <w:rsid w:val="00D91EAC"/>
    <w:rsid w:val="00D92190"/>
    <w:rsid w:val="00D92D5E"/>
    <w:rsid w:val="00D9401A"/>
    <w:rsid w:val="00D94C80"/>
    <w:rsid w:val="00D95CFE"/>
    <w:rsid w:val="00D9624E"/>
    <w:rsid w:val="00D96A5C"/>
    <w:rsid w:val="00D9707C"/>
    <w:rsid w:val="00D97576"/>
    <w:rsid w:val="00D975C7"/>
    <w:rsid w:val="00DA1388"/>
    <w:rsid w:val="00DA1D6B"/>
    <w:rsid w:val="00DA21CD"/>
    <w:rsid w:val="00DA2296"/>
    <w:rsid w:val="00DA27B1"/>
    <w:rsid w:val="00DA29BE"/>
    <w:rsid w:val="00DA3852"/>
    <w:rsid w:val="00DA3AE3"/>
    <w:rsid w:val="00DA3B57"/>
    <w:rsid w:val="00DA3D44"/>
    <w:rsid w:val="00DA3FC7"/>
    <w:rsid w:val="00DA48B2"/>
    <w:rsid w:val="00DA4A28"/>
    <w:rsid w:val="00DA4B44"/>
    <w:rsid w:val="00DA6382"/>
    <w:rsid w:val="00DA7941"/>
    <w:rsid w:val="00DA7BBC"/>
    <w:rsid w:val="00DA7E21"/>
    <w:rsid w:val="00DA7F81"/>
    <w:rsid w:val="00DB0DCA"/>
    <w:rsid w:val="00DB2084"/>
    <w:rsid w:val="00DB2EE9"/>
    <w:rsid w:val="00DB4166"/>
    <w:rsid w:val="00DB4310"/>
    <w:rsid w:val="00DB49A9"/>
    <w:rsid w:val="00DB52C3"/>
    <w:rsid w:val="00DB5C92"/>
    <w:rsid w:val="00DB65B9"/>
    <w:rsid w:val="00DB7313"/>
    <w:rsid w:val="00DC11D6"/>
    <w:rsid w:val="00DC14E7"/>
    <w:rsid w:val="00DC163A"/>
    <w:rsid w:val="00DC1941"/>
    <w:rsid w:val="00DC1DA3"/>
    <w:rsid w:val="00DC2AA3"/>
    <w:rsid w:val="00DC372C"/>
    <w:rsid w:val="00DC48B4"/>
    <w:rsid w:val="00DC5A9A"/>
    <w:rsid w:val="00DC6679"/>
    <w:rsid w:val="00DC6C92"/>
    <w:rsid w:val="00DC7AB7"/>
    <w:rsid w:val="00DD0AD5"/>
    <w:rsid w:val="00DD1F1A"/>
    <w:rsid w:val="00DD2562"/>
    <w:rsid w:val="00DD25E3"/>
    <w:rsid w:val="00DD379F"/>
    <w:rsid w:val="00DD3E78"/>
    <w:rsid w:val="00DD4067"/>
    <w:rsid w:val="00DD4DC7"/>
    <w:rsid w:val="00DD4E4F"/>
    <w:rsid w:val="00DD5008"/>
    <w:rsid w:val="00DD5372"/>
    <w:rsid w:val="00DD5C5E"/>
    <w:rsid w:val="00DD5F5C"/>
    <w:rsid w:val="00DD6960"/>
    <w:rsid w:val="00DD7A93"/>
    <w:rsid w:val="00DD7B6F"/>
    <w:rsid w:val="00DD7E3B"/>
    <w:rsid w:val="00DD7ED4"/>
    <w:rsid w:val="00DE0084"/>
    <w:rsid w:val="00DE1A35"/>
    <w:rsid w:val="00DE1A90"/>
    <w:rsid w:val="00DE2C1D"/>
    <w:rsid w:val="00DE375D"/>
    <w:rsid w:val="00DE3A96"/>
    <w:rsid w:val="00DE3D3C"/>
    <w:rsid w:val="00DE4E2F"/>
    <w:rsid w:val="00DE52DB"/>
    <w:rsid w:val="00DE58D4"/>
    <w:rsid w:val="00DE5B94"/>
    <w:rsid w:val="00DE5FCB"/>
    <w:rsid w:val="00DE6409"/>
    <w:rsid w:val="00DE6F1B"/>
    <w:rsid w:val="00DE73FE"/>
    <w:rsid w:val="00DE798C"/>
    <w:rsid w:val="00DE79D6"/>
    <w:rsid w:val="00DF06BE"/>
    <w:rsid w:val="00DF0705"/>
    <w:rsid w:val="00DF0721"/>
    <w:rsid w:val="00DF082D"/>
    <w:rsid w:val="00DF1557"/>
    <w:rsid w:val="00DF1605"/>
    <w:rsid w:val="00DF18A1"/>
    <w:rsid w:val="00DF1984"/>
    <w:rsid w:val="00DF251F"/>
    <w:rsid w:val="00DF2AB1"/>
    <w:rsid w:val="00DF344C"/>
    <w:rsid w:val="00DF39E8"/>
    <w:rsid w:val="00DF3BB6"/>
    <w:rsid w:val="00DF6483"/>
    <w:rsid w:val="00DF7B39"/>
    <w:rsid w:val="00E00226"/>
    <w:rsid w:val="00E017B2"/>
    <w:rsid w:val="00E01FA6"/>
    <w:rsid w:val="00E023C8"/>
    <w:rsid w:val="00E029BF"/>
    <w:rsid w:val="00E02A46"/>
    <w:rsid w:val="00E03FE5"/>
    <w:rsid w:val="00E04B13"/>
    <w:rsid w:val="00E05FAD"/>
    <w:rsid w:val="00E10148"/>
    <w:rsid w:val="00E109A7"/>
    <w:rsid w:val="00E10FB1"/>
    <w:rsid w:val="00E110E7"/>
    <w:rsid w:val="00E1123C"/>
    <w:rsid w:val="00E126E9"/>
    <w:rsid w:val="00E12A75"/>
    <w:rsid w:val="00E154C6"/>
    <w:rsid w:val="00E16DBB"/>
    <w:rsid w:val="00E175AB"/>
    <w:rsid w:val="00E179BE"/>
    <w:rsid w:val="00E20AF1"/>
    <w:rsid w:val="00E21794"/>
    <w:rsid w:val="00E23263"/>
    <w:rsid w:val="00E2365E"/>
    <w:rsid w:val="00E236D4"/>
    <w:rsid w:val="00E2448E"/>
    <w:rsid w:val="00E24AEB"/>
    <w:rsid w:val="00E25359"/>
    <w:rsid w:val="00E254C5"/>
    <w:rsid w:val="00E2575F"/>
    <w:rsid w:val="00E26CBC"/>
    <w:rsid w:val="00E26D89"/>
    <w:rsid w:val="00E27F69"/>
    <w:rsid w:val="00E300BF"/>
    <w:rsid w:val="00E30D70"/>
    <w:rsid w:val="00E30EA3"/>
    <w:rsid w:val="00E3181E"/>
    <w:rsid w:val="00E322D6"/>
    <w:rsid w:val="00E3246E"/>
    <w:rsid w:val="00E32E7F"/>
    <w:rsid w:val="00E33178"/>
    <w:rsid w:val="00E333C2"/>
    <w:rsid w:val="00E33AB3"/>
    <w:rsid w:val="00E33E55"/>
    <w:rsid w:val="00E34710"/>
    <w:rsid w:val="00E349DB"/>
    <w:rsid w:val="00E35256"/>
    <w:rsid w:val="00E3533F"/>
    <w:rsid w:val="00E35F2E"/>
    <w:rsid w:val="00E3726B"/>
    <w:rsid w:val="00E3741A"/>
    <w:rsid w:val="00E37AE2"/>
    <w:rsid w:val="00E37E7C"/>
    <w:rsid w:val="00E400A8"/>
    <w:rsid w:val="00E40801"/>
    <w:rsid w:val="00E40EEB"/>
    <w:rsid w:val="00E413D1"/>
    <w:rsid w:val="00E429C5"/>
    <w:rsid w:val="00E43705"/>
    <w:rsid w:val="00E43939"/>
    <w:rsid w:val="00E447E0"/>
    <w:rsid w:val="00E46660"/>
    <w:rsid w:val="00E466EE"/>
    <w:rsid w:val="00E4756D"/>
    <w:rsid w:val="00E47584"/>
    <w:rsid w:val="00E5099A"/>
    <w:rsid w:val="00E50AB0"/>
    <w:rsid w:val="00E51C61"/>
    <w:rsid w:val="00E53100"/>
    <w:rsid w:val="00E53DE5"/>
    <w:rsid w:val="00E55F4C"/>
    <w:rsid w:val="00E56227"/>
    <w:rsid w:val="00E57513"/>
    <w:rsid w:val="00E621C9"/>
    <w:rsid w:val="00E6230B"/>
    <w:rsid w:val="00E6236A"/>
    <w:rsid w:val="00E62538"/>
    <w:rsid w:val="00E62E93"/>
    <w:rsid w:val="00E63A3D"/>
    <w:rsid w:val="00E65A5A"/>
    <w:rsid w:val="00E660FB"/>
    <w:rsid w:val="00E66C39"/>
    <w:rsid w:val="00E66F26"/>
    <w:rsid w:val="00E707C9"/>
    <w:rsid w:val="00E71836"/>
    <w:rsid w:val="00E73085"/>
    <w:rsid w:val="00E732FF"/>
    <w:rsid w:val="00E73704"/>
    <w:rsid w:val="00E7437B"/>
    <w:rsid w:val="00E74FF0"/>
    <w:rsid w:val="00E75271"/>
    <w:rsid w:val="00E76510"/>
    <w:rsid w:val="00E7652C"/>
    <w:rsid w:val="00E7680C"/>
    <w:rsid w:val="00E77528"/>
    <w:rsid w:val="00E80A39"/>
    <w:rsid w:val="00E81002"/>
    <w:rsid w:val="00E82D59"/>
    <w:rsid w:val="00E847F1"/>
    <w:rsid w:val="00E85BCC"/>
    <w:rsid w:val="00E90EBC"/>
    <w:rsid w:val="00E91984"/>
    <w:rsid w:val="00E91EC7"/>
    <w:rsid w:val="00E92593"/>
    <w:rsid w:val="00E93646"/>
    <w:rsid w:val="00E95432"/>
    <w:rsid w:val="00E95EE7"/>
    <w:rsid w:val="00E96B54"/>
    <w:rsid w:val="00E96C0E"/>
    <w:rsid w:val="00E9731A"/>
    <w:rsid w:val="00E97996"/>
    <w:rsid w:val="00E97A30"/>
    <w:rsid w:val="00E97F1A"/>
    <w:rsid w:val="00EA046B"/>
    <w:rsid w:val="00EA04EC"/>
    <w:rsid w:val="00EA26D2"/>
    <w:rsid w:val="00EA28DC"/>
    <w:rsid w:val="00EA435F"/>
    <w:rsid w:val="00EA44CE"/>
    <w:rsid w:val="00EA4CA2"/>
    <w:rsid w:val="00EA516B"/>
    <w:rsid w:val="00EA56CA"/>
    <w:rsid w:val="00EA5BE0"/>
    <w:rsid w:val="00EA6987"/>
    <w:rsid w:val="00EB012E"/>
    <w:rsid w:val="00EB0915"/>
    <w:rsid w:val="00EB0B1E"/>
    <w:rsid w:val="00EB0FAF"/>
    <w:rsid w:val="00EB11DF"/>
    <w:rsid w:val="00EB1F53"/>
    <w:rsid w:val="00EB2AFA"/>
    <w:rsid w:val="00EB2B42"/>
    <w:rsid w:val="00EB40F6"/>
    <w:rsid w:val="00EB4B06"/>
    <w:rsid w:val="00EB6062"/>
    <w:rsid w:val="00EB635A"/>
    <w:rsid w:val="00EB6482"/>
    <w:rsid w:val="00EB69E0"/>
    <w:rsid w:val="00EB76A2"/>
    <w:rsid w:val="00EC06C7"/>
    <w:rsid w:val="00EC079B"/>
    <w:rsid w:val="00EC096B"/>
    <w:rsid w:val="00EC0E77"/>
    <w:rsid w:val="00EC16DF"/>
    <w:rsid w:val="00EC1F27"/>
    <w:rsid w:val="00EC2024"/>
    <w:rsid w:val="00EC2925"/>
    <w:rsid w:val="00EC29BE"/>
    <w:rsid w:val="00EC33F0"/>
    <w:rsid w:val="00EC412C"/>
    <w:rsid w:val="00EC528A"/>
    <w:rsid w:val="00EC5C38"/>
    <w:rsid w:val="00EC69B7"/>
    <w:rsid w:val="00EC69F6"/>
    <w:rsid w:val="00EC6DC4"/>
    <w:rsid w:val="00EC7E93"/>
    <w:rsid w:val="00ED0FEE"/>
    <w:rsid w:val="00ED1A4E"/>
    <w:rsid w:val="00ED22D5"/>
    <w:rsid w:val="00ED38BF"/>
    <w:rsid w:val="00ED458B"/>
    <w:rsid w:val="00ED48E6"/>
    <w:rsid w:val="00ED501A"/>
    <w:rsid w:val="00ED5B79"/>
    <w:rsid w:val="00ED7944"/>
    <w:rsid w:val="00ED7E61"/>
    <w:rsid w:val="00EE055D"/>
    <w:rsid w:val="00EE2712"/>
    <w:rsid w:val="00EE2752"/>
    <w:rsid w:val="00EE4081"/>
    <w:rsid w:val="00EE429B"/>
    <w:rsid w:val="00EE42BA"/>
    <w:rsid w:val="00EE54DC"/>
    <w:rsid w:val="00EE6D54"/>
    <w:rsid w:val="00EE6F23"/>
    <w:rsid w:val="00EE7203"/>
    <w:rsid w:val="00EE739F"/>
    <w:rsid w:val="00EF00B9"/>
    <w:rsid w:val="00EF0ECC"/>
    <w:rsid w:val="00EF32ED"/>
    <w:rsid w:val="00EF334E"/>
    <w:rsid w:val="00EF3F5B"/>
    <w:rsid w:val="00EF48DA"/>
    <w:rsid w:val="00EF7A87"/>
    <w:rsid w:val="00EF7AA1"/>
    <w:rsid w:val="00F01DD4"/>
    <w:rsid w:val="00F022B2"/>
    <w:rsid w:val="00F02916"/>
    <w:rsid w:val="00F02F82"/>
    <w:rsid w:val="00F038C5"/>
    <w:rsid w:val="00F03989"/>
    <w:rsid w:val="00F04338"/>
    <w:rsid w:val="00F04DF4"/>
    <w:rsid w:val="00F05AB0"/>
    <w:rsid w:val="00F0625B"/>
    <w:rsid w:val="00F06302"/>
    <w:rsid w:val="00F0641A"/>
    <w:rsid w:val="00F06767"/>
    <w:rsid w:val="00F0719A"/>
    <w:rsid w:val="00F112CA"/>
    <w:rsid w:val="00F114BA"/>
    <w:rsid w:val="00F1243B"/>
    <w:rsid w:val="00F13170"/>
    <w:rsid w:val="00F13906"/>
    <w:rsid w:val="00F13ABF"/>
    <w:rsid w:val="00F13B42"/>
    <w:rsid w:val="00F14BAD"/>
    <w:rsid w:val="00F151E8"/>
    <w:rsid w:val="00F151FF"/>
    <w:rsid w:val="00F17112"/>
    <w:rsid w:val="00F17C08"/>
    <w:rsid w:val="00F21848"/>
    <w:rsid w:val="00F21AB7"/>
    <w:rsid w:val="00F22420"/>
    <w:rsid w:val="00F22FEF"/>
    <w:rsid w:val="00F23177"/>
    <w:rsid w:val="00F244B4"/>
    <w:rsid w:val="00F25AE1"/>
    <w:rsid w:val="00F264C1"/>
    <w:rsid w:val="00F303A3"/>
    <w:rsid w:val="00F3292D"/>
    <w:rsid w:val="00F349DB"/>
    <w:rsid w:val="00F36F6E"/>
    <w:rsid w:val="00F3724D"/>
    <w:rsid w:val="00F402EE"/>
    <w:rsid w:val="00F40503"/>
    <w:rsid w:val="00F41000"/>
    <w:rsid w:val="00F41066"/>
    <w:rsid w:val="00F4152C"/>
    <w:rsid w:val="00F41C6D"/>
    <w:rsid w:val="00F42604"/>
    <w:rsid w:val="00F437F7"/>
    <w:rsid w:val="00F43FD9"/>
    <w:rsid w:val="00F44208"/>
    <w:rsid w:val="00F449CE"/>
    <w:rsid w:val="00F44A95"/>
    <w:rsid w:val="00F45357"/>
    <w:rsid w:val="00F453E0"/>
    <w:rsid w:val="00F45B0F"/>
    <w:rsid w:val="00F460D7"/>
    <w:rsid w:val="00F4676E"/>
    <w:rsid w:val="00F469CB"/>
    <w:rsid w:val="00F47739"/>
    <w:rsid w:val="00F4778E"/>
    <w:rsid w:val="00F47FEF"/>
    <w:rsid w:val="00F5022C"/>
    <w:rsid w:val="00F50260"/>
    <w:rsid w:val="00F51EAB"/>
    <w:rsid w:val="00F51F2F"/>
    <w:rsid w:val="00F521F3"/>
    <w:rsid w:val="00F55894"/>
    <w:rsid w:val="00F5725B"/>
    <w:rsid w:val="00F6034A"/>
    <w:rsid w:val="00F62AE2"/>
    <w:rsid w:val="00F64294"/>
    <w:rsid w:val="00F65754"/>
    <w:rsid w:val="00F66577"/>
    <w:rsid w:val="00F66FF9"/>
    <w:rsid w:val="00F67365"/>
    <w:rsid w:val="00F67808"/>
    <w:rsid w:val="00F70116"/>
    <w:rsid w:val="00F70CE8"/>
    <w:rsid w:val="00F73D0A"/>
    <w:rsid w:val="00F7441E"/>
    <w:rsid w:val="00F7496D"/>
    <w:rsid w:val="00F75ACF"/>
    <w:rsid w:val="00F76715"/>
    <w:rsid w:val="00F7759D"/>
    <w:rsid w:val="00F804B9"/>
    <w:rsid w:val="00F81469"/>
    <w:rsid w:val="00F819C8"/>
    <w:rsid w:val="00F834DB"/>
    <w:rsid w:val="00F83763"/>
    <w:rsid w:val="00F84015"/>
    <w:rsid w:val="00F8526E"/>
    <w:rsid w:val="00F85DCE"/>
    <w:rsid w:val="00F86CBD"/>
    <w:rsid w:val="00F87088"/>
    <w:rsid w:val="00F87456"/>
    <w:rsid w:val="00F879CB"/>
    <w:rsid w:val="00F90A31"/>
    <w:rsid w:val="00F90D8D"/>
    <w:rsid w:val="00F90E8F"/>
    <w:rsid w:val="00F9116F"/>
    <w:rsid w:val="00F920D8"/>
    <w:rsid w:val="00F92CA7"/>
    <w:rsid w:val="00F96C8C"/>
    <w:rsid w:val="00F97814"/>
    <w:rsid w:val="00FA04D8"/>
    <w:rsid w:val="00FA0959"/>
    <w:rsid w:val="00FA0D15"/>
    <w:rsid w:val="00FA0DB9"/>
    <w:rsid w:val="00FA1173"/>
    <w:rsid w:val="00FA1BD7"/>
    <w:rsid w:val="00FA1EEF"/>
    <w:rsid w:val="00FA2435"/>
    <w:rsid w:val="00FA2DE4"/>
    <w:rsid w:val="00FA3F27"/>
    <w:rsid w:val="00FA46D9"/>
    <w:rsid w:val="00FA61AB"/>
    <w:rsid w:val="00FA74C4"/>
    <w:rsid w:val="00FA7736"/>
    <w:rsid w:val="00FA79BB"/>
    <w:rsid w:val="00FB1128"/>
    <w:rsid w:val="00FB492C"/>
    <w:rsid w:val="00FB5893"/>
    <w:rsid w:val="00FB6C91"/>
    <w:rsid w:val="00FB7368"/>
    <w:rsid w:val="00FB77F8"/>
    <w:rsid w:val="00FB7D1F"/>
    <w:rsid w:val="00FC0257"/>
    <w:rsid w:val="00FC04A5"/>
    <w:rsid w:val="00FC0A63"/>
    <w:rsid w:val="00FC2CF6"/>
    <w:rsid w:val="00FC2D04"/>
    <w:rsid w:val="00FC3AC0"/>
    <w:rsid w:val="00FC3C57"/>
    <w:rsid w:val="00FC4D9A"/>
    <w:rsid w:val="00FC4EAF"/>
    <w:rsid w:val="00FC52D1"/>
    <w:rsid w:val="00FC5781"/>
    <w:rsid w:val="00FC5A81"/>
    <w:rsid w:val="00FC6A5E"/>
    <w:rsid w:val="00FC7958"/>
    <w:rsid w:val="00FC7F45"/>
    <w:rsid w:val="00FD0207"/>
    <w:rsid w:val="00FD0978"/>
    <w:rsid w:val="00FD2AB8"/>
    <w:rsid w:val="00FD2B59"/>
    <w:rsid w:val="00FD2BD2"/>
    <w:rsid w:val="00FD5008"/>
    <w:rsid w:val="00FD5C83"/>
    <w:rsid w:val="00FD6B2D"/>
    <w:rsid w:val="00FD71B2"/>
    <w:rsid w:val="00FE099F"/>
    <w:rsid w:val="00FE0EFE"/>
    <w:rsid w:val="00FE1C19"/>
    <w:rsid w:val="00FE23F1"/>
    <w:rsid w:val="00FE2490"/>
    <w:rsid w:val="00FE365C"/>
    <w:rsid w:val="00FE3F3A"/>
    <w:rsid w:val="00FE43E0"/>
    <w:rsid w:val="00FE530A"/>
    <w:rsid w:val="00FE59B0"/>
    <w:rsid w:val="00FE6289"/>
    <w:rsid w:val="00FE68A4"/>
    <w:rsid w:val="00FE6DD9"/>
    <w:rsid w:val="00FF02BA"/>
    <w:rsid w:val="00FF1911"/>
    <w:rsid w:val="00FF201D"/>
    <w:rsid w:val="00FF2B34"/>
    <w:rsid w:val="00FF571F"/>
    <w:rsid w:val="00FF5A98"/>
    <w:rsid w:val="00FF5C7E"/>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6CE45C-3DA9-4146-AC13-5E961EA7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7A"/>
    <w:rPr>
      <w:sz w:val="24"/>
      <w:szCs w:val="24"/>
      <w:lang w:val="ro-RO" w:eastAsia="ro-RO"/>
    </w:rPr>
  </w:style>
  <w:style w:type="paragraph" w:styleId="Heading1">
    <w:name w:val="heading 1"/>
    <w:basedOn w:val="Normal"/>
    <w:next w:val="Normal"/>
    <w:link w:val="Heading1Char"/>
    <w:qFormat/>
    <w:rsid w:val="00BA2B7A"/>
    <w:pPr>
      <w:keepNext/>
      <w:jc w:val="center"/>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2B7A"/>
    <w:pPr>
      <w:jc w:val="both"/>
    </w:pPr>
  </w:style>
  <w:style w:type="paragraph" w:styleId="BodyText3">
    <w:name w:val="Body Text 3"/>
    <w:basedOn w:val="Normal"/>
    <w:rsid w:val="00BA2B7A"/>
    <w:pPr>
      <w:jc w:val="both"/>
    </w:pPr>
    <w:rPr>
      <w:b/>
      <w:bCs/>
      <w:lang w:val="en-US" w:eastAsia="en-US"/>
    </w:rPr>
  </w:style>
  <w:style w:type="paragraph" w:styleId="BodyText2">
    <w:name w:val="Body Text 2"/>
    <w:basedOn w:val="Normal"/>
    <w:rsid w:val="00BA2B7A"/>
    <w:pPr>
      <w:overflowPunct w:val="0"/>
      <w:autoSpaceDE w:val="0"/>
      <w:autoSpaceDN w:val="0"/>
      <w:adjustRightInd w:val="0"/>
      <w:jc w:val="both"/>
    </w:pPr>
    <w:rPr>
      <w:sz w:val="28"/>
      <w:szCs w:val="20"/>
    </w:rPr>
  </w:style>
  <w:style w:type="paragraph" w:styleId="Title">
    <w:name w:val="Title"/>
    <w:basedOn w:val="Normal"/>
    <w:qFormat/>
    <w:rsid w:val="00BA2B7A"/>
    <w:pPr>
      <w:jc w:val="center"/>
    </w:pPr>
    <w:rPr>
      <w:b/>
      <w:bCs/>
      <w:sz w:val="28"/>
    </w:rPr>
  </w:style>
  <w:style w:type="paragraph" w:styleId="Header">
    <w:name w:val="header"/>
    <w:basedOn w:val="Normal"/>
    <w:link w:val="HeaderChar"/>
    <w:rsid w:val="00BA2B7A"/>
    <w:pPr>
      <w:tabs>
        <w:tab w:val="center" w:pos="4153"/>
        <w:tab w:val="right" w:pos="8306"/>
      </w:tabs>
    </w:pPr>
    <w:rPr>
      <w:rFonts w:ascii="RimTimes" w:hAnsi="RimTimes"/>
      <w:sz w:val="28"/>
      <w:szCs w:val="20"/>
      <w:lang w:val="lv-LV" w:eastAsia="en-US"/>
    </w:rPr>
  </w:style>
  <w:style w:type="paragraph" w:styleId="Footer">
    <w:name w:val="footer"/>
    <w:basedOn w:val="Normal"/>
    <w:link w:val="FooterChar"/>
    <w:uiPriority w:val="99"/>
    <w:rsid w:val="00BA2B7A"/>
    <w:pPr>
      <w:tabs>
        <w:tab w:val="center" w:pos="4703"/>
        <w:tab w:val="right" w:pos="9406"/>
      </w:tabs>
    </w:pPr>
    <w:rPr>
      <w:lang w:val="en-US" w:eastAsia="en-US"/>
    </w:rPr>
  </w:style>
  <w:style w:type="paragraph" w:styleId="HTMLPreformatted">
    <w:name w:val="HTML Preformatted"/>
    <w:basedOn w:val="Normal"/>
    <w:rsid w:val="00B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BA2B7A"/>
  </w:style>
  <w:style w:type="paragraph" w:customStyle="1" w:styleId="CharChar">
    <w:name w:val="Char Char"/>
    <w:basedOn w:val="Normal"/>
    <w:rsid w:val="006F3BEA"/>
    <w:pPr>
      <w:spacing w:after="160" w:line="240" w:lineRule="exact"/>
    </w:pPr>
    <w:rPr>
      <w:rFonts w:ascii="Tahoma" w:hAnsi="Tahoma"/>
      <w:sz w:val="20"/>
      <w:szCs w:val="20"/>
      <w:lang w:val="en-GB" w:eastAsia="en-US"/>
    </w:rPr>
  </w:style>
  <w:style w:type="paragraph" w:customStyle="1" w:styleId="CharChar1">
    <w:name w:val="Char Char1"/>
    <w:basedOn w:val="Normal"/>
    <w:rsid w:val="00872F6C"/>
    <w:pPr>
      <w:spacing w:after="160" w:line="240" w:lineRule="exact"/>
    </w:pPr>
    <w:rPr>
      <w:rFonts w:ascii="Tahoma" w:hAnsi="Tahoma"/>
      <w:sz w:val="20"/>
      <w:szCs w:val="20"/>
      <w:lang w:val="en-GB" w:eastAsia="en-US"/>
    </w:rPr>
  </w:style>
  <w:style w:type="character" w:customStyle="1" w:styleId="do1">
    <w:name w:val="do1"/>
    <w:rsid w:val="00CC0A23"/>
    <w:rPr>
      <w:b/>
      <w:bCs/>
      <w:sz w:val="26"/>
      <w:szCs w:val="26"/>
    </w:rPr>
  </w:style>
  <w:style w:type="paragraph" w:customStyle="1" w:styleId="CharCharChar1">
    <w:name w:val="Char Char Char1"/>
    <w:basedOn w:val="Normal"/>
    <w:rsid w:val="00CC0A23"/>
    <w:rPr>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B7AA0"/>
    <w:rPr>
      <w:lang w:val="pl-PL" w:eastAsia="pl-PL"/>
    </w:rPr>
  </w:style>
  <w:style w:type="table" w:styleId="TableGrid">
    <w:name w:val="Table Grid"/>
    <w:basedOn w:val="TableNormal"/>
    <w:rsid w:val="009B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aracter"/>
    <w:rsid w:val="009B7AA0"/>
    <w:rPr>
      <w:color w:val="000000"/>
      <w:sz w:val="20"/>
      <w:szCs w:val="20"/>
      <w:lang w:val="en-US" w:eastAsia="en-US"/>
    </w:rPr>
  </w:style>
  <w:style w:type="character" w:customStyle="1" w:styleId="normalCaracter">
    <w:name w:val="normal Caracter"/>
    <w:link w:val="Normal1"/>
    <w:rsid w:val="009B7AA0"/>
    <w:rPr>
      <w:color w:val="000000"/>
      <w:lang w:val="en-US" w:eastAsia="en-US" w:bidi="ar-SA"/>
    </w:rPr>
  </w:style>
  <w:style w:type="character" w:styleId="CommentReference">
    <w:name w:val="annotation reference"/>
    <w:semiHidden/>
    <w:rsid w:val="00DA4B44"/>
    <w:rPr>
      <w:sz w:val="16"/>
      <w:szCs w:val="16"/>
    </w:rPr>
  </w:style>
  <w:style w:type="paragraph" w:styleId="CommentText">
    <w:name w:val="annotation text"/>
    <w:basedOn w:val="Normal"/>
    <w:semiHidden/>
    <w:rsid w:val="00DA4B44"/>
    <w:rPr>
      <w:sz w:val="20"/>
      <w:szCs w:val="20"/>
    </w:rPr>
  </w:style>
  <w:style w:type="paragraph" w:styleId="CommentSubject">
    <w:name w:val="annotation subject"/>
    <w:basedOn w:val="CommentText"/>
    <w:next w:val="CommentText"/>
    <w:semiHidden/>
    <w:rsid w:val="00DA4B44"/>
    <w:rPr>
      <w:b/>
      <w:bCs/>
    </w:rPr>
  </w:style>
  <w:style w:type="paragraph" w:styleId="BalloonText">
    <w:name w:val="Balloon Text"/>
    <w:basedOn w:val="Normal"/>
    <w:semiHidden/>
    <w:rsid w:val="00DA4B44"/>
    <w:rPr>
      <w:rFonts w:ascii="Tahoma" w:hAnsi="Tahoma" w:cs="Tahoma"/>
      <w:sz w:val="16"/>
      <w:szCs w:val="16"/>
    </w:rPr>
  </w:style>
  <w:style w:type="paragraph" w:customStyle="1" w:styleId="CharCharCaracterCaracterCharChar">
    <w:name w:val="Char Char Caracter Caracter Char Char"/>
    <w:basedOn w:val="Normal"/>
    <w:rsid w:val="00C17F6C"/>
    <w:rPr>
      <w:lang w:val="pl-PL" w:eastAsia="pl-PL"/>
    </w:rPr>
  </w:style>
  <w:style w:type="character" w:customStyle="1" w:styleId="ln2tparagraf">
    <w:name w:val="ln2tparagraf"/>
    <w:rsid w:val="00194382"/>
    <w:rPr>
      <w:rFonts w:cs="Times New Roman"/>
    </w:rPr>
  </w:style>
  <w:style w:type="character" w:customStyle="1" w:styleId="preambul1">
    <w:name w:val="preambul1"/>
    <w:rsid w:val="00A50B9A"/>
    <w:rPr>
      <w:i/>
      <w:iCs/>
      <w:color w:val="000000"/>
    </w:rPr>
  </w:style>
  <w:style w:type="paragraph" w:customStyle="1" w:styleId="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w:basedOn w:val="Normal"/>
    <w:rsid w:val="00A50B9A"/>
    <w:rPr>
      <w:lang w:val="pl-PL" w:eastAsia="pl-PL"/>
    </w:rPr>
  </w:style>
  <w:style w:type="paragraph" w:styleId="ListParagraph">
    <w:name w:val="List Paragraph"/>
    <w:basedOn w:val="Normal"/>
    <w:link w:val="ListParagraphChar"/>
    <w:uiPriority w:val="99"/>
    <w:qFormat/>
    <w:rsid w:val="007B09F7"/>
    <w:pPr>
      <w:spacing w:after="200" w:line="276" w:lineRule="auto"/>
      <w:ind w:left="720"/>
      <w:contextualSpacing/>
    </w:pPr>
    <w:rPr>
      <w:rFonts w:ascii="Calibri" w:eastAsia="Calibri" w:hAnsi="Calibri"/>
      <w:sz w:val="22"/>
      <w:szCs w:val="22"/>
      <w:lang w:val="en-US" w:eastAsia="en-US"/>
    </w:rPr>
  </w:style>
  <w:style w:type="character" w:customStyle="1" w:styleId="slitbdy">
    <w:name w:val="s_lit_bdy"/>
    <w:basedOn w:val="DefaultParagraphFont"/>
    <w:rsid w:val="007B09F7"/>
  </w:style>
  <w:style w:type="paragraph" w:styleId="NormalWeb">
    <w:name w:val="Normal (Web)"/>
    <w:basedOn w:val="Normal"/>
    <w:uiPriority w:val="99"/>
    <w:unhideWhenUsed/>
    <w:rsid w:val="00D41BAD"/>
    <w:pPr>
      <w:spacing w:before="100" w:beforeAutospacing="1" w:after="100" w:afterAutospacing="1"/>
    </w:pPr>
    <w:rPr>
      <w:rFonts w:eastAsia="Calibri"/>
      <w:lang w:val="en-US" w:eastAsia="en-US"/>
    </w:rPr>
  </w:style>
  <w:style w:type="character" w:customStyle="1" w:styleId="FooterChar">
    <w:name w:val="Footer Char"/>
    <w:link w:val="Footer"/>
    <w:uiPriority w:val="99"/>
    <w:rsid w:val="00342FC5"/>
    <w:rPr>
      <w:sz w:val="24"/>
      <w:szCs w:val="24"/>
      <w:lang w:val="en-US" w:eastAsia="en-US"/>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rsid w:val="00F47739"/>
    <w:rPr>
      <w:sz w:val="20"/>
      <w:szCs w:val="20"/>
      <w:lang w:val="en-US" w:eastAsia="en-US"/>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basedOn w:val="DefaultParagraphFont"/>
    <w:link w:val="FootnoteText"/>
    <w:rsid w:val="00F47739"/>
  </w:style>
  <w:style w:type="character" w:styleId="FootnoteReference">
    <w:name w:val="footnote reference"/>
    <w:aliases w:val="BVI fnr Char1, BVI fnr Char1,Footnote Reference Number Char,Odwołanie przypisu Char,Footnote Reference_LVL6 Char,Footnote Reference_LVL61 Char,Footnote Reference_LVL62 Char,Footnote Reference_LVL63 Char,Footnote Reference_LVL64 Char"/>
    <w:link w:val="BVIfnr"/>
    <w:rsid w:val="00F47739"/>
    <w:rPr>
      <w:vertAlign w:val="superscript"/>
    </w:rPr>
  </w:style>
  <w:style w:type="paragraph" w:customStyle="1" w:styleId="BVIfnr">
    <w:name w:val="BVI fnr"/>
    <w:aliases w:val=" BVI fnr,Footnote Reference Number,Odwołanie przypisu,Footnote Reference_LVL6,Footnote Reference_LVL61,Footnote Reference_LVL62,Footnote Reference_LVL63,Footnote Reference_LVL64,fr,Odwo&lt;0142&gt;anie przypisu,Footnote symbol,SUPER"/>
    <w:basedOn w:val="Normal"/>
    <w:next w:val="Normal"/>
    <w:link w:val="FootnoteReference"/>
    <w:rsid w:val="00F47739"/>
    <w:pPr>
      <w:spacing w:after="160" w:line="240" w:lineRule="exact"/>
    </w:pPr>
    <w:rPr>
      <w:sz w:val="20"/>
      <w:szCs w:val="20"/>
      <w:vertAlign w:val="superscript"/>
    </w:rPr>
  </w:style>
  <w:style w:type="paragraph" w:customStyle="1" w:styleId="BodyText1">
    <w:name w:val="Body Text1"/>
    <w:basedOn w:val="Normal"/>
    <w:rsid w:val="00532966"/>
    <w:pPr>
      <w:shd w:val="clear" w:color="auto" w:fill="FFFFFF"/>
      <w:spacing w:before="540" w:line="274" w:lineRule="exact"/>
      <w:jc w:val="center"/>
    </w:pPr>
    <w:rPr>
      <w:rFonts w:ascii="Calibri" w:eastAsia="Calibri" w:hAnsi="Calibri" w:cs="Calibri"/>
      <w:b/>
      <w:bCs/>
      <w:color w:val="000000"/>
      <w:sz w:val="23"/>
      <w:szCs w:val="23"/>
      <w:lang w:val="en-US" w:eastAsia="en-US"/>
    </w:rPr>
  </w:style>
  <w:style w:type="character" w:customStyle="1" w:styleId="arial12negru1">
    <w:name w:val="arial12negru1"/>
    <w:uiPriority w:val="99"/>
    <w:rsid w:val="0094187E"/>
    <w:rPr>
      <w:rFonts w:ascii="Arial" w:hAnsi="Arial" w:cs="Arial"/>
      <w:color w:val="000000"/>
      <w:sz w:val="19"/>
      <w:szCs w:val="19"/>
      <w:u w:val="none"/>
      <w:effect w:val="none"/>
    </w:rPr>
  </w:style>
  <w:style w:type="character" w:customStyle="1" w:styleId="ListParagraphChar">
    <w:name w:val="List Paragraph Char"/>
    <w:link w:val="ListParagraph"/>
    <w:uiPriority w:val="99"/>
    <w:locked/>
    <w:rsid w:val="002B4BA0"/>
    <w:rPr>
      <w:rFonts w:ascii="Calibri" w:eastAsia="Calibri" w:hAnsi="Calibri"/>
      <w:sz w:val="22"/>
      <w:szCs w:val="22"/>
      <w:lang w:val="en-US" w:eastAsia="en-US"/>
    </w:rPr>
  </w:style>
  <w:style w:type="paragraph" w:customStyle="1" w:styleId="Pagedecouverture">
    <w:name w:val="Page de couverture"/>
    <w:basedOn w:val="Normal"/>
    <w:next w:val="Normal"/>
    <w:rsid w:val="00FA1173"/>
    <w:pPr>
      <w:jc w:val="both"/>
    </w:pPr>
    <w:rPr>
      <w:rFonts w:eastAsia="Calibri"/>
      <w:szCs w:val="22"/>
      <w:lang w:bidi="ro-RO"/>
    </w:rPr>
  </w:style>
  <w:style w:type="character" w:customStyle="1" w:styleId="HeaderChar">
    <w:name w:val="Header Char"/>
    <w:basedOn w:val="DefaultParagraphFont"/>
    <w:link w:val="Header"/>
    <w:rsid w:val="00FA1173"/>
    <w:rPr>
      <w:rFonts w:ascii="RimTimes" w:hAnsi="RimTimes"/>
      <w:sz w:val="28"/>
      <w:lang w:val="lv-LV" w:eastAsia="en-US"/>
    </w:rPr>
  </w:style>
  <w:style w:type="paragraph" w:customStyle="1" w:styleId="FooterCoverPage">
    <w:name w:val="Footer Cover Page"/>
    <w:basedOn w:val="Normal"/>
    <w:link w:val="FooterCoverPageChar"/>
    <w:rsid w:val="00FA1173"/>
    <w:pPr>
      <w:tabs>
        <w:tab w:val="center" w:pos="4535"/>
        <w:tab w:val="right" w:pos="9071"/>
        <w:tab w:val="right" w:pos="9921"/>
      </w:tabs>
      <w:spacing w:before="360"/>
      <w:ind w:left="-850" w:right="-850"/>
    </w:pPr>
    <w:rPr>
      <w:rFonts w:eastAsia="Times New Roman"/>
      <w:lang w:bidi="ro-RO"/>
    </w:rPr>
  </w:style>
  <w:style w:type="character" w:customStyle="1" w:styleId="FooterCoverPageChar">
    <w:name w:val="Footer Cover Page Char"/>
    <w:basedOn w:val="DefaultParagraphFont"/>
    <w:link w:val="FooterCoverPage"/>
    <w:rsid w:val="00FA1173"/>
    <w:rPr>
      <w:rFonts w:eastAsia="Times New Roman"/>
      <w:sz w:val="24"/>
      <w:szCs w:val="24"/>
      <w:lang w:val="ro-RO" w:eastAsia="ro-RO" w:bidi="ro-RO"/>
    </w:rPr>
  </w:style>
  <w:style w:type="paragraph" w:customStyle="1" w:styleId="HeaderCoverPage">
    <w:name w:val="Header Cover Page"/>
    <w:basedOn w:val="Normal"/>
    <w:link w:val="HeaderCoverPageChar"/>
    <w:rsid w:val="00FA1173"/>
    <w:pPr>
      <w:tabs>
        <w:tab w:val="center" w:pos="4535"/>
        <w:tab w:val="right" w:pos="9071"/>
      </w:tabs>
      <w:spacing w:after="120"/>
      <w:jc w:val="both"/>
    </w:pPr>
    <w:rPr>
      <w:rFonts w:eastAsia="Times New Roman"/>
      <w:lang w:bidi="ro-RO"/>
    </w:rPr>
  </w:style>
  <w:style w:type="character" w:customStyle="1" w:styleId="HeaderCoverPageChar">
    <w:name w:val="Header Cover Page Char"/>
    <w:basedOn w:val="DefaultParagraphFont"/>
    <w:link w:val="HeaderCoverPage"/>
    <w:rsid w:val="00FA1173"/>
    <w:rPr>
      <w:rFonts w:eastAsia="Times New Roman"/>
      <w:sz w:val="24"/>
      <w:szCs w:val="24"/>
      <w:lang w:val="ro-RO" w:eastAsia="ro-RO" w:bidi="ro-RO"/>
    </w:rPr>
  </w:style>
  <w:style w:type="paragraph" w:customStyle="1" w:styleId="doc-ti">
    <w:name w:val="doc-ti"/>
    <w:basedOn w:val="Normal"/>
    <w:rsid w:val="007F1CA7"/>
    <w:pPr>
      <w:spacing w:before="240" w:after="120"/>
      <w:jc w:val="center"/>
    </w:pPr>
    <w:rPr>
      <w:rFonts w:eastAsia="Times New Roman"/>
      <w:b/>
      <w:bCs/>
      <w:lang w:val="en-GB" w:eastAsia="en-GB"/>
    </w:rPr>
  </w:style>
  <w:style w:type="paragraph" w:customStyle="1" w:styleId="no-doc-c">
    <w:name w:val="no-doc-c"/>
    <w:basedOn w:val="Normal"/>
    <w:rsid w:val="007F1CA7"/>
    <w:pPr>
      <w:spacing w:before="120" w:after="120"/>
      <w:jc w:val="center"/>
    </w:pPr>
    <w:rPr>
      <w:rFonts w:eastAsia="Times New Roman"/>
      <w:lang w:val="en-GB" w:eastAsia="en-GB"/>
    </w:rPr>
  </w:style>
  <w:style w:type="paragraph" w:customStyle="1" w:styleId="note">
    <w:name w:val="note"/>
    <w:basedOn w:val="Normal"/>
    <w:rsid w:val="007F1CA7"/>
    <w:pPr>
      <w:spacing w:before="60" w:after="60"/>
      <w:jc w:val="both"/>
    </w:pPr>
    <w:rPr>
      <w:rFonts w:eastAsia="Times New Roman"/>
      <w:sz w:val="19"/>
      <w:szCs w:val="19"/>
      <w:lang w:val="en-GB" w:eastAsia="en-GB"/>
    </w:rPr>
  </w:style>
  <w:style w:type="paragraph" w:customStyle="1" w:styleId="signatory">
    <w:name w:val="signatory"/>
    <w:basedOn w:val="Normal"/>
    <w:rsid w:val="007F1CA7"/>
    <w:pPr>
      <w:spacing w:before="60" w:after="60"/>
      <w:jc w:val="center"/>
    </w:pPr>
    <w:rPr>
      <w:rFonts w:eastAsia="Times New Roman"/>
      <w:lang w:val="en-GB" w:eastAsia="en-GB"/>
    </w:rPr>
  </w:style>
  <w:style w:type="paragraph" w:customStyle="1" w:styleId="ti-grseq-1">
    <w:name w:val="ti-grseq-1"/>
    <w:basedOn w:val="Normal"/>
    <w:rsid w:val="007F1CA7"/>
    <w:pPr>
      <w:spacing w:before="240" w:after="120"/>
      <w:jc w:val="both"/>
    </w:pPr>
    <w:rPr>
      <w:rFonts w:eastAsia="Times New Roman"/>
      <w:b/>
      <w:bCs/>
      <w:lang w:val="en-GB" w:eastAsia="en-GB"/>
    </w:rPr>
  </w:style>
  <w:style w:type="character" w:customStyle="1" w:styleId="bold">
    <w:name w:val="bold"/>
    <w:basedOn w:val="DefaultParagraphFont"/>
    <w:rsid w:val="007F1CA7"/>
    <w:rPr>
      <w:b/>
      <w:bCs/>
    </w:rPr>
  </w:style>
  <w:style w:type="character" w:customStyle="1" w:styleId="italic">
    <w:name w:val="italic"/>
    <w:basedOn w:val="DefaultParagraphFont"/>
    <w:rsid w:val="007F1CA7"/>
    <w:rPr>
      <w:i/>
      <w:iCs/>
    </w:rPr>
  </w:style>
  <w:style w:type="character" w:customStyle="1" w:styleId="super">
    <w:name w:val="super"/>
    <w:basedOn w:val="DefaultParagraphFont"/>
    <w:rsid w:val="007F1CA7"/>
    <w:rPr>
      <w:sz w:val="17"/>
      <w:szCs w:val="17"/>
      <w:vertAlign w:val="superscript"/>
    </w:rPr>
  </w:style>
  <w:style w:type="character" w:styleId="Hyperlink">
    <w:name w:val="Hyperlink"/>
    <w:basedOn w:val="DefaultParagraphFont"/>
    <w:unhideWhenUsed/>
    <w:rsid w:val="007F1CA7"/>
    <w:rPr>
      <w:color w:val="0000FF"/>
      <w:u w:val="single"/>
    </w:rPr>
  </w:style>
  <w:style w:type="paragraph" w:customStyle="1" w:styleId="Default">
    <w:name w:val="Default"/>
    <w:rsid w:val="00370E89"/>
    <w:pPr>
      <w:autoSpaceDE w:val="0"/>
      <w:autoSpaceDN w:val="0"/>
      <w:adjustRightInd w:val="0"/>
    </w:pPr>
    <w:rPr>
      <w:color w:val="000000"/>
      <w:sz w:val="24"/>
      <w:szCs w:val="24"/>
      <w:lang w:eastAsia="zh-CN"/>
    </w:rPr>
  </w:style>
  <w:style w:type="paragraph" w:customStyle="1" w:styleId="ManualHeading2">
    <w:name w:val="Manual Heading 2"/>
    <w:basedOn w:val="Normal"/>
    <w:next w:val="Normal"/>
    <w:rsid w:val="009E499F"/>
    <w:pPr>
      <w:keepNext/>
      <w:tabs>
        <w:tab w:val="left" w:pos="850"/>
      </w:tabs>
      <w:spacing w:before="120" w:after="120"/>
      <w:ind w:left="850" w:hanging="850"/>
      <w:jc w:val="both"/>
      <w:outlineLvl w:val="1"/>
    </w:pPr>
    <w:rPr>
      <w:rFonts w:eastAsiaTheme="minorHAnsi"/>
      <w:b/>
      <w:szCs w:val="22"/>
      <w:lang w:bidi="ro-RO"/>
    </w:rPr>
  </w:style>
  <w:style w:type="paragraph" w:customStyle="1" w:styleId="ManualNumPar1">
    <w:name w:val="Manual NumPar 1"/>
    <w:basedOn w:val="Normal"/>
    <w:next w:val="Normal"/>
    <w:rsid w:val="009E499F"/>
    <w:pPr>
      <w:spacing w:before="120" w:after="120"/>
      <w:ind w:left="850" w:hanging="850"/>
      <w:jc w:val="both"/>
    </w:pPr>
    <w:rPr>
      <w:rFonts w:eastAsiaTheme="minorHAnsi"/>
      <w:szCs w:val="22"/>
      <w:lang w:bidi="ro-RO"/>
    </w:rPr>
  </w:style>
  <w:style w:type="paragraph" w:customStyle="1" w:styleId="ManualHeading1">
    <w:name w:val="Manual Heading 1"/>
    <w:basedOn w:val="Normal"/>
    <w:next w:val="Normal"/>
    <w:rsid w:val="009E499F"/>
    <w:pPr>
      <w:keepNext/>
      <w:tabs>
        <w:tab w:val="left" w:pos="850"/>
      </w:tabs>
      <w:spacing w:before="360" w:after="120"/>
      <w:ind w:left="850" w:hanging="850"/>
      <w:jc w:val="both"/>
      <w:outlineLvl w:val="0"/>
    </w:pPr>
    <w:rPr>
      <w:rFonts w:eastAsiaTheme="minorHAnsi"/>
      <w:b/>
      <w:smallCaps/>
      <w:szCs w:val="22"/>
      <w:lang w:bidi="ro-RO"/>
    </w:rPr>
  </w:style>
  <w:style w:type="paragraph" w:customStyle="1" w:styleId="Bullet0">
    <w:name w:val="Bullet 0"/>
    <w:basedOn w:val="Normal"/>
    <w:rsid w:val="009E499F"/>
    <w:pPr>
      <w:numPr>
        <w:numId w:val="9"/>
      </w:numPr>
      <w:spacing w:before="120" w:after="120"/>
      <w:jc w:val="both"/>
    </w:pPr>
    <w:rPr>
      <w:rFonts w:eastAsiaTheme="minorHAnsi"/>
      <w:szCs w:val="22"/>
      <w:lang w:bidi="ro-RO"/>
    </w:rPr>
  </w:style>
  <w:style w:type="paragraph" w:customStyle="1" w:styleId="Bullet1">
    <w:name w:val="Bullet 1"/>
    <w:basedOn w:val="Normal"/>
    <w:rsid w:val="009E499F"/>
    <w:pPr>
      <w:numPr>
        <w:numId w:val="10"/>
      </w:numPr>
      <w:spacing w:before="120" w:after="120"/>
      <w:jc w:val="both"/>
    </w:pPr>
    <w:rPr>
      <w:rFonts w:eastAsiaTheme="minorHAnsi"/>
      <w:szCs w:val="22"/>
      <w:lang w:bidi="ro-RO"/>
    </w:rPr>
  </w:style>
  <w:style w:type="paragraph" w:customStyle="1" w:styleId="Exposdesmotifstitre">
    <w:name w:val="Exposé des motifs titre"/>
    <w:basedOn w:val="Normal"/>
    <w:next w:val="Normal"/>
    <w:rsid w:val="009E499F"/>
    <w:pPr>
      <w:spacing w:before="120" w:after="120"/>
      <w:jc w:val="center"/>
    </w:pPr>
    <w:rPr>
      <w:rFonts w:eastAsiaTheme="minorHAnsi"/>
      <w:b/>
      <w:szCs w:val="22"/>
      <w:u w:val="single"/>
      <w:lang w:bidi="ro-RO"/>
    </w:rPr>
  </w:style>
  <w:style w:type="paragraph" w:customStyle="1" w:styleId="Fait">
    <w:name w:val="Fait à"/>
    <w:basedOn w:val="Normal"/>
    <w:next w:val="Institutionquisigne"/>
    <w:rsid w:val="009E499F"/>
    <w:pPr>
      <w:keepNext/>
      <w:spacing w:before="120"/>
      <w:jc w:val="both"/>
    </w:pPr>
    <w:rPr>
      <w:rFonts w:eastAsiaTheme="minorHAnsi"/>
      <w:szCs w:val="22"/>
      <w:lang w:bidi="ro-RO"/>
    </w:rPr>
  </w:style>
  <w:style w:type="paragraph" w:customStyle="1" w:styleId="Formuledadoption">
    <w:name w:val="Formule d'adoption"/>
    <w:basedOn w:val="Normal"/>
    <w:next w:val="Normal"/>
    <w:rsid w:val="009E499F"/>
    <w:pPr>
      <w:keepNext/>
      <w:spacing w:before="120" w:after="120"/>
      <w:jc w:val="both"/>
    </w:pPr>
    <w:rPr>
      <w:rFonts w:eastAsiaTheme="minorHAnsi"/>
      <w:szCs w:val="22"/>
      <w:lang w:bidi="ro-RO"/>
    </w:rPr>
  </w:style>
  <w:style w:type="paragraph" w:customStyle="1" w:styleId="Institutionquiagit">
    <w:name w:val="Institution qui agit"/>
    <w:basedOn w:val="Normal"/>
    <w:next w:val="Normal"/>
    <w:rsid w:val="009E499F"/>
    <w:pPr>
      <w:keepNext/>
      <w:spacing w:before="600" w:after="120"/>
      <w:jc w:val="both"/>
    </w:pPr>
    <w:rPr>
      <w:rFonts w:eastAsiaTheme="minorHAnsi"/>
      <w:szCs w:val="22"/>
      <w:lang w:bidi="ro-RO"/>
    </w:rPr>
  </w:style>
  <w:style w:type="paragraph" w:customStyle="1" w:styleId="Institutionquisigne">
    <w:name w:val="Institution qui signe"/>
    <w:basedOn w:val="Normal"/>
    <w:next w:val="Personnequisigne"/>
    <w:rsid w:val="009E499F"/>
    <w:pPr>
      <w:keepNext/>
      <w:tabs>
        <w:tab w:val="left" w:pos="4252"/>
      </w:tabs>
      <w:spacing w:before="720"/>
      <w:jc w:val="both"/>
    </w:pPr>
    <w:rPr>
      <w:rFonts w:eastAsiaTheme="minorHAnsi"/>
      <w:i/>
      <w:szCs w:val="22"/>
      <w:lang w:bidi="ro-RO"/>
    </w:rPr>
  </w:style>
  <w:style w:type="paragraph" w:customStyle="1" w:styleId="ManualConsidrant">
    <w:name w:val="Manual Considérant"/>
    <w:basedOn w:val="Normal"/>
    <w:rsid w:val="009E499F"/>
    <w:pPr>
      <w:spacing w:before="120" w:after="120"/>
      <w:ind w:left="709" w:hanging="709"/>
      <w:jc w:val="both"/>
    </w:pPr>
    <w:rPr>
      <w:rFonts w:eastAsiaTheme="minorHAnsi"/>
      <w:szCs w:val="22"/>
      <w:lang w:bidi="ro-RO"/>
    </w:rPr>
  </w:style>
  <w:style w:type="paragraph" w:customStyle="1" w:styleId="Personnequisigne">
    <w:name w:val="Personne qui signe"/>
    <w:basedOn w:val="Normal"/>
    <w:next w:val="Institutionquisigne"/>
    <w:rsid w:val="009E499F"/>
    <w:pPr>
      <w:tabs>
        <w:tab w:val="left" w:pos="4252"/>
      </w:tabs>
    </w:pPr>
    <w:rPr>
      <w:rFonts w:eastAsiaTheme="minorHAnsi"/>
      <w:i/>
      <w:szCs w:val="22"/>
      <w:lang w:bidi="ro-RO"/>
    </w:rPr>
  </w:style>
  <w:style w:type="paragraph" w:customStyle="1" w:styleId="Rfrenceinterinstitutionnelle">
    <w:name w:val="Référence interinstitutionnelle"/>
    <w:basedOn w:val="Normal"/>
    <w:next w:val="Statut"/>
    <w:rsid w:val="009E499F"/>
    <w:pPr>
      <w:ind w:left="5103"/>
    </w:pPr>
    <w:rPr>
      <w:rFonts w:eastAsiaTheme="minorHAnsi"/>
      <w:szCs w:val="22"/>
      <w:lang w:bidi="ro-RO"/>
    </w:rPr>
  </w:style>
  <w:style w:type="paragraph" w:customStyle="1" w:styleId="Statut">
    <w:name w:val="Statut"/>
    <w:basedOn w:val="Normal"/>
    <w:next w:val="Typedudocument"/>
    <w:rsid w:val="009E499F"/>
    <w:pPr>
      <w:spacing w:before="360"/>
      <w:jc w:val="center"/>
    </w:pPr>
    <w:rPr>
      <w:rFonts w:eastAsiaTheme="minorHAnsi"/>
      <w:szCs w:val="22"/>
      <w:lang w:bidi="ro-RO"/>
    </w:rPr>
  </w:style>
  <w:style w:type="paragraph" w:customStyle="1" w:styleId="Titreobjet">
    <w:name w:val="Titre objet"/>
    <w:basedOn w:val="Normal"/>
    <w:next w:val="Normal"/>
    <w:rsid w:val="009E499F"/>
    <w:pPr>
      <w:spacing w:before="360" w:after="360"/>
      <w:jc w:val="center"/>
    </w:pPr>
    <w:rPr>
      <w:rFonts w:eastAsiaTheme="minorHAnsi"/>
      <w:b/>
      <w:szCs w:val="22"/>
      <w:lang w:bidi="ro-RO"/>
    </w:rPr>
  </w:style>
  <w:style w:type="paragraph" w:customStyle="1" w:styleId="Typedudocument">
    <w:name w:val="Type du document"/>
    <w:basedOn w:val="Normal"/>
    <w:next w:val="Titreobjet"/>
    <w:rsid w:val="009E499F"/>
    <w:pPr>
      <w:spacing w:before="360"/>
      <w:jc w:val="center"/>
    </w:pPr>
    <w:rPr>
      <w:rFonts w:eastAsiaTheme="minorHAnsi"/>
      <w:b/>
      <w:szCs w:val="22"/>
      <w:lang w:bidi="ro-RO"/>
    </w:rPr>
  </w:style>
  <w:style w:type="paragraph" w:customStyle="1" w:styleId="Normal2">
    <w:name w:val="Normal2"/>
    <w:basedOn w:val="Normal"/>
    <w:rsid w:val="002006DB"/>
    <w:pPr>
      <w:spacing w:before="86"/>
      <w:jc w:val="both"/>
    </w:pPr>
    <w:rPr>
      <w:rFonts w:eastAsia="Times New Roman"/>
      <w:lang w:val="en-GB" w:eastAsia="ja-JP"/>
    </w:rPr>
  </w:style>
  <w:style w:type="character" w:customStyle="1" w:styleId="Heading1Char">
    <w:name w:val="Heading 1 Char"/>
    <w:basedOn w:val="DefaultParagraphFont"/>
    <w:link w:val="Heading1"/>
    <w:rsid w:val="00560B5E"/>
    <w:rPr>
      <w:b/>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8120">
      <w:bodyDiv w:val="1"/>
      <w:marLeft w:val="0"/>
      <w:marRight w:val="0"/>
      <w:marTop w:val="0"/>
      <w:marBottom w:val="0"/>
      <w:divBdr>
        <w:top w:val="none" w:sz="0" w:space="0" w:color="auto"/>
        <w:left w:val="none" w:sz="0" w:space="0" w:color="auto"/>
        <w:bottom w:val="none" w:sz="0" w:space="0" w:color="auto"/>
        <w:right w:val="none" w:sz="0" w:space="0" w:color="auto"/>
      </w:divBdr>
    </w:div>
    <w:div w:id="111484069">
      <w:bodyDiv w:val="1"/>
      <w:marLeft w:val="0"/>
      <w:marRight w:val="0"/>
      <w:marTop w:val="0"/>
      <w:marBottom w:val="0"/>
      <w:divBdr>
        <w:top w:val="none" w:sz="0" w:space="0" w:color="auto"/>
        <w:left w:val="none" w:sz="0" w:space="0" w:color="auto"/>
        <w:bottom w:val="none" w:sz="0" w:space="0" w:color="auto"/>
        <w:right w:val="none" w:sz="0" w:space="0" w:color="auto"/>
      </w:divBdr>
    </w:div>
    <w:div w:id="191768060">
      <w:bodyDiv w:val="1"/>
      <w:marLeft w:val="0"/>
      <w:marRight w:val="0"/>
      <w:marTop w:val="0"/>
      <w:marBottom w:val="0"/>
      <w:divBdr>
        <w:top w:val="none" w:sz="0" w:space="0" w:color="auto"/>
        <w:left w:val="none" w:sz="0" w:space="0" w:color="auto"/>
        <w:bottom w:val="none" w:sz="0" w:space="0" w:color="auto"/>
        <w:right w:val="none" w:sz="0" w:space="0" w:color="auto"/>
      </w:divBdr>
    </w:div>
    <w:div w:id="224143116">
      <w:bodyDiv w:val="1"/>
      <w:marLeft w:val="0"/>
      <w:marRight w:val="0"/>
      <w:marTop w:val="0"/>
      <w:marBottom w:val="0"/>
      <w:divBdr>
        <w:top w:val="none" w:sz="0" w:space="0" w:color="auto"/>
        <w:left w:val="none" w:sz="0" w:space="0" w:color="auto"/>
        <w:bottom w:val="none" w:sz="0" w:space="0" w:color="auto"/>
        <w:right w:val="none" w:sz="0" w:space="0" w:color="auto"/>
      </w:divBdr>
    </w:div>
    <w:div w:id="433671277">
      <w:bodyDiv w:val="1"/>
      <w:marLeft w:val="390"/>
      <w:marRight w:val="390"/>
      <w:marTop w:val="0"/>
      <w:marBottom w:val="0"/>
      <w:divBdr>
        <w:top w:val="none" w:sz="0" w:space="0" w:color="auto"/>
        <w:left w:val="none" w:sz="0" w:space="0" w:color="auto"/>
        <w:bottom w:val="none" w:sz="0" w:space="0" w:color="auto"/>
        <w:right w:val="none" w:sz="0" w:space="0" w:color="auto"/>
      </w:divBdr>
    </w:div>
    <w:div w:id="514225036">
      <w:bodyDiv w:val="1"/>
      <w:marLeft w:val="390"/>
      <w:marRight w:val="390"/>
      <w:marTop w:val="0"/>
      <w:marBottom w:val="0"/>
      <w:divBdr>
        <w:top w:val="none" w:sz="0" w:space="0" w:color="auto"/>
        <w:left w:val="none" w:sz="0" w:space="0" w:color="auto"/>
        <w:bottom w:val="none" w:sz="0" w:space="0" w:color="auto"/>
        <w:right w:val="none" w:sz="0" w:space="0" w:color="auto"/>
      </w:divBdr>
      <w:divsChild>
        <w:div w:id="336082552">
          <w:marLeft w:val="810"/>
          <w:marRight w:val="810"/>
          <w:marTop w:val="360"/>
          <w:marBottom w:val="0"/>
          <w:divBdr>
            <w:top w:val="none" w:sz="0" w:space="0" w:color="auto"/>
            <w:left w:val="none" w:sz="0" w:space="0" w:color="auto"/>
            <w:bottom w:val="none" w:sz="0" w:space="0" w:color="auto"/>
            <w:right w:val="none" w:sz="0" w:space="0" w:color="auto"/>
          </w:divBdr>
          <w:divsChild>
            <w:div w:id="1145047792">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558638344">
      <w:bodyDiv w:val="1"/>
      <w:marLeft w:val="0"/>
      <w:marRight w:val="0"/>
      <w:marTop w:val="0"/>
      <w:marBottom w:val="0"/>
      <w:divBdr>
        <w:top w:val="none" w:sz="0" w:space="0" w:color="auto"/>
        <w:left w:val="none" w:sz="0" w:space="0" w:color="auto"/>
        <w:bottom w:val="none" w:sz="0" w:space="0" w:color="auto"/>
        <w:right w:val="none" w:sz="0" w:space="0" w:color="auto"/>
      </w:divBdr>
      <w:divsChild>
        <w:div w:id="856504895">
          <w:marLeft w:val="0"/>
          <w:marRight w:val="0"/>
          <w:marTop w:val="0"/>
          <w:marBottom w:val="0"/>
          <w:divBdr>
            <w:top w:val="none" w:sz="0" w:space="0" w:color="auto"/>
            <w:left w:val="none" w:sz="0" w:space="0" w:color="auto"/>
            <w:bottom w:val="none" w:sz="0" w:space="0" w:color="auto"/>
            <w:right w:val="none" w:sz="0" w:space="0" w:color="auto"/>
          </w:divBdr>
          <w:divsChild>
            <w:div w:id="1154875990">
              <w:marLeft w:val="0"/>
              <w:marRight w:val="0"/>
              <w:marTop w:val="0"/>
              <w:marBottom w:val="0"/>
              <w:divBdr>
                <w:top w:val="none" w:sz="0" w:space="0" w:color="auto"/>
                <w:left w:val="none" w:sz="0" w:space="0" w:color="auto"/>
                <w:bottom w:val="none" w:sz="0" w:space="0" w:color="auto"/>
                <w:right w:val="none" w:sz="0" w:space="0" w:color="auto"/>
              </w:divBdr>
              <w:divsChild>
                <w:div w:id="1020668969">
                  <w:marLeft w:val="0"/>
                  <w:marRight w:val="0"/>
                  <w:marTop w:val="0"/>
                  <w:marBottom w:val="0"/>
                  <w:divBdr>
                    <w:top w:val="none" w:sz="0" w:space="0" w:color="auto"/>
                    <w:left w:val="none" w:sz="0" w:space="0" w:color="auto"/>
                    <w:bottom w:val="none" w:sz="0" w:space="0" w:color="auto"/>
                    <w:right w:val="none" w:sz="0" w:space="0" w:color="auto"/>
                  </w:divBdr>
                  <w:divsChild>
                    <w:div w:id="1180008158">
                      <w:marLeft w:val="1"/>
                      <w:marRight w:val="1"/>
                      <w:marTop w:val="0"/>
                      <w:marBottom w:val="0"/>
                      <w:divBdr>
                        <w:top w:val="none" w:sz="0" w:space="0" w:color="auto"/>
                        <w:left w:val="none" w:sz="0" w:space="0" w:color="auto"/>
                        <w:bottom w:val="none" w:sz="0" w:space="0" w:color="auto"/>
                        <w:right w:val="none" w:sz="0" w:space="0" w:color="auto"/>
                      </w:divBdr>
                      <w:divsChild>
                        <w:div w:id="56704696">
                          <w:marLeft w:val="0"/>
                          <w:marRight w:val="0"/>
                          <w:marTop w:val="0"/>
                          <w:marBottom w:val="0"/>
                          <w:divBdr>
                            <w:top w:val="none" w:sz="0" w:space="0" w:color="auto"/>
                            <w:left w:val="none" w:sz="0" w:space="0" w:color="auto"/>
                            <w:bottom w:val="none" w:sz="0" w:space="0" w:color="auto"/>
                            <w:right w:val="none" w:sz="0" w:space="0" w:color="auto"/>
                          </w:divBdr>
                          <w:divsChild>
                            <w:div w:id="1897473507">
                              <w:marLeft w:val="0"/>
                              <w:marRight w:val="0"/>
                              <w:marTop w:val="0"/>
                              <w:marBottom w:val="360"/>
                              <w:divBdr>
                                <w:top w:val="none" w:sz="0" w:space="0" w:color="auto"/>
                                <w:left w:val="none" w:sz="0" w:space="0" w:color="auto"/>
                                <w:bottom w:val="none" w:sz="0" w:space="0" w:color="auto"/>
                                <w:right w:val="none" w:sz="0" w:space="0" w:color="auto"/>
                              </w:divBdr>
                              <w:divsChild>
                                <w:div w:id="268046467">
                                  <w:marLeft w:val="0"/>
                                  <w:marRight w:val="0"/>
                                  <w:marTop w:val="0"/>
                                  <w:marBottom w:val="0"/>
                                  <w:divBdr>
                                    <w:top w:val="none" w:sz="0" w:space="0" w:color="auto"/>
                                    <w:left w:val="none" w:sz="0" w:space="0" w:color="auto"/>
                                    <w:bottom w:val="none" w:sz="0" w:space="0" w:color="auto"/>
                                    <w:right w:val="none" w:sz="0" w:space="0" w:color="auto"/>
                                  </w:divBdr>
                                  <w:divsChild>
                                    <w:div w:id="158037985">
                                      <w:marLeft w:val="0"/>
                                      <w:marRight w:val="0"/>
                                      <w:marTop w:val="0"/>
                                      <w:marBottom w:val="0"/>
                                      <w:divBdr>
                                        <w:top w:val="none" w:sz="0" w:space="0" w:color="auto"/>
                                        <w:left w:val="none" w:sz="0" w:space="0" w:color="auto"/>
                                        <w:bottom w:val="none" w:sz="0" w:space="0" w:color="auto"/>
                                        <w:right w:val="none" w:sz="0" w:space="0" w:color="auto"/>
                                      </w:divBdr>
                                      <w:divsChild>
                                        <w:div w:id="2034308635">
                                          <w:marLeft w:val="0"/>
                                          <w:marRight w:val="0"/>
                                          <w:marTop w:val="0"/>
                                          <w:marBottom w:val="0"/>
                                          <w:divBdr>
                                            <w:top w:val="none" w:sz="0" w:space="0" w:color="auto"/>
                                            <w:left w:val="none" w:sz="0" w:space="0" w:color="auto"/>
                                            <w:bottom w:val="none" w:sz="0" w:space="0" w:color="auto"/>
                                            <w:right w:val="none" w:sz="0" w:space="0" w:color="auto"/>
                                          </w:divBdr>
                                          <w:divsChild>
                                            <w:div w:id="1813516392">
                                              <w:marLeft w:val="0"/>
                                              <w:marRight w:val="0"/>
                                              <w:marTop w:val="0"/>
                                              <w:marBottom w:val="0"/>
                                              <w:divBdr>
                                                <w:top w:val="none" w:sz="0" w:space="0" w:color="auto"/>
                                                <w:left w:val="none" w:sz="0" w:space="0" w:color="auto"/>
                                                <w:bottom w:val="none" w:sz="0" w:space="0" w:color="auto"/>
                                                <w:right w:val="none" w:sz="0" w:space="0" w:color="auto"/>
                                              </w:divBdr>
                                              <w:divsChild>
                                                <w:div w:id="1876500268">
                                                  <w:marLeft w:val="0"/>
                                                  <w:marRight w:val="0"/>
                                                  <w:marTop w:val="0"/>
                                                  <w:marBottom w:val="0"/>
                                                  <w:divBdr>
                                                    <w:top w:val="none" w:sz="0" w:space="0" w:color="auto"/>
                                                    <w:left w:val="none" w:sz="0" w:space="0" w:color="auto"/>
                                                    <w:bottom w:val="none" w:sz="0" w:space="0" w:color="auto"/>
                                                    <w:right w:val="none" w:sz="0" w:space="0" w:color="auto"/>
                                                  </w:divBdr>
                                                  <w:divsChild>
                                                    <w:div w:id="9123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426081">
      <w:bodyDiv w:val="1"/>
      <w:marLeft w:val="279"/>
      <w:marRight w:val="279"/>
      <w:marTop w:val="0"/>
      <w:marBottom w:val="0"/>
      <w:divBdr>
        <w:top w:val="none" w:sz="0" w:space="0" w:color="auto"/>
        <w:left w:val="none" w:sz="0" w:space="0" w:color="auto"/>
        <w:bottom w:val="none" w:sz="0" w:space="0" w:color="auto"/>
        <w:right w:val="none" w:sz="0" w:space="0" w:color="auto"/>
      </w:divBdr>
    </w:div>
    <w:div w:id="639725694">
      <w:bodyDiv w:val="1"/>
      <w:marLeft w:val="0"/>
      <w:marRight w:val="0"/>
      <w:marTop w:val="0"/>
      <w:marBottom w:val="0"/>
      <w:divBdr>
        <w:top w:val="none" w:sz="0" w:space="0" w:color="auto"/>
        <w:left w:val="none" w:sz="0" w:space="0" w:color="auto"/>
        <w:bottom w:val="none" w:sz="0" w:space="0" w:color="auto"/>
        <w:right w:val="none" w:sz="0" w:space="0" w:color="auto"/>
      </w:divBdr>
    </w:div>
    <w:div w:id="797532093">
      <w:bodyDiv w:val="1"/>
      <w:marLeft w:val="279"/>
      <w:marRight w:val="279"/>
      <w:marTop w:val="0"/>
      <w:marBottom w:val="0"/>
      <w:divBdr>
        <w:top w:val="none" w:sz="0" w:space="0" w:color="auto"/>
        <w:left w:val="none" w:sz="0" w:space="0" w:color="auto"/>
        <w:bottom w:val="none" w:sz="0" w:space="0" w:color="auto"/>
        <w:right w:val="none" w:sz="0" w:space="0" w:color="auto"/>
      </w:divBdr>
    </w:div>
    <w:div w:id="909191431">
      <w:bodyDiv w:val="1"/>
      <w:marLeft w:val="0"/>
      <w:marRight w:val="0"/>
      <w:marTop w:val="0"/>
      <w:marBottom w:val="0"/>
      <w:divBdr>
        <w:top w:val="none" w:sz="0" w:space="0" w:color="auto"/>
        <w:left w:val="none" w:sz="0" w:space="0" w:color="auto"/>
        <w:bottom w:val="none" w:sz="0" w:space="0" w:color="auto"/>
        <w:right w:val="none" w:sz="0" w:space="0" w:color="auto"/>
      </w:divBdr>
      <w:divsChild>
        <w:div w:id="1889874095">
          <w:marLeft w:val="0"/>
          <w:marRight w:val="0"/>
          <w:marTop w:val="0"/>
          <w:marBottom w:val="0"/>
          <w:divBdr>
            <w:top w:val="none" w:sz="0" w:space="0" w:color="auto"/>
            <w:left w:val="none" w:sz="0" w:space="0" w:color="auto"/>
            <w:bottom w:val="none" w:sz="0" w:space="0" w:color="auto"/>
            <w:right w:val="none" w:sz="0" w:space="0" w:color="auto"/>
          </w:divBdr>
          <w:divsChild>
            <w:div w:id="1985961219">
              <w:marLeft w:val="0"/>
              <w:marRight w:val="0"/>
              <w:marTop w:val="0"/>
              <w:marBottom w:val="0"/>
              <w:divBdr>
                <w:top w:val="none" w:sz="0" w:space="0" w:color="auto"/>
                <w:left w:val="none" w:sz="0" w:space="0" w:color="auto"/>
                <w:bottom w:val="none" w:sz="0" w:space="0" w:color="auto"/>
                <w:right w:val="none" w:sz="0" w:space="0" w:color="auto"/>
              </w:divBdr>
              <w:divsChild>
                <w:div w:id="813914802">
                  <w:marLeft w:val="0"/>
                  <w:marRight w:val="0"/>
                  <w:marTop w:val="0"/>
                  <w:marBottom w:val="0"/>
                  <w:divBdr>
                    <w:top w:val="none" w:sz="0" w:space="0" w:color="auto"/>
                    <w:left w:val="none" w:sz="0" w:space="0" w:color="auto"/>
                    <w:bottom w:val="none" w:sz="0" w:space="0" w:color="auto"/>
                    <w:right w:val="none" w:sz="0" w:space="0" w:color="auto"/>
                  </w:divBdr>
                  <w:divsChild>
                    <w:div w:id="1270889057">
                      <w:marLeft w:val="1"/>
                      <w:marRight w:val="1"/>
                      <w:marTop w:val="0"/>
                      <w:marBottom w:val="0"/>
                      <w:divBdr>
                        <w:top w:val="none" w:sz="0" w:space="0" w:color="auto"/>
                        <w:left w:val="none" w:sz="0" w:space="0" w:color="auto"/>
                        <w:bottom w:val="none" w:sz="0" w:space="0" w:color="auto"/>
                        <w:right w:val="none" w:sz="0" w:space="0" w:color="auto"/>
                      </w:divBdr>
                      <w:divsChild>
                        <w:div w:id="1424301854">
                          <w:marLeft w:val="0"/>
                          <w:marRight w:val="0"/>
                          <w:marTop w:val="0"/>
                          <w:marBottom w:val="0"/>
                          <w:divBdr>
                            <w:top w:val="none" w:sz="0" w:space="0" w:color="auto"/>
                            <w:left w:val="none" w:sz="0" w:space="0" w:color="auto"/>
                            <w:bottom w:val="none" w:sz="0" w:space="0" w:color="auto"/>
                            <w:right w:val="none" w:sz="0" w:space="0" w:color="auto"/>
                          </w:divBdr>
                          <w:divsChild>
                            <w:div w:id="1674606703">
                              <w:marLeft w:val="0"/>
                              <w:marRight w:val="0"/>
                              <w:marTop w:val="0"/>
                              <w:marBottom w:val="360"/>
                              <w:divBdr>
                                <w:top w:val="none" w:sz="0" w:space="0" w:color="auto"/>
                                <w:left w:val="none" w:sz="0" w:space="0" w:color="auto"/>
                                <w:bottom w:val="none" w:sz="0" w:space="0" w:color="auto"/>
                                <w:right w:val="none" w:sz="0" w:space="0" w:color="auto"/>
                              </w:divBdr>
                              <w:divsChild>
                                <w:div w:id="674578839">
                                  <w:marLeft w:val="0"/>
                                  <w:marRight w:val="0"/>
                                  <w:marTop w:val="0"/>
                                  <w:marBottom w:val="0"/>
                                  <w:divBdr>
                                    <w:top w:val="none" w:sz="0" w:space="0" w:color="auto"/>
                                    <w:left w:val="none" w:sz="0" w:space="0" w:color="auto"/>
                                    <w:bottom w:val="none" w:sz="0" w:space="0" w:color="auto"/>
                                    <w:right w:val="none" w:sz="0" w:space="0" w:color="auto"/>
                                  </w:divBdr>
                                  <w:divsChild>
                                    <w:div w:id="2073114579">
                                      <w:marLeft w:val="0"/>
                                      <w:marRight w:val="0"/>
                                      <w:marTop w:val="0"/>
                                      <w:marBottom w:val="0"/>
                                      <w:divBdr>
                                        <w:top w:val="none" w:sz="0" w:space="0" w:color="auto"/>
                                        <w:left w:val="none" w:sz="0" w:space="0" w:color="auto"/>
                                        <w:bottom w:val="none" w:sz="0" w:space="0" w:color="auto"/>
                                        <w:right w:val="none" w:sz="0" w:space="0" w:color="auto"/>
                                      </w:divBdr>
                                      <w:divsChild>
                                        <w:div w:id="946621742">
                                          <w:marLeft w:val="0"/>
                                          <w:marRight w:val="0"/>
                                          <w:marTop w:val="0"/>
                                          <w:marBottom w:val="0"/>
                                          <w:divBdr>
                                            <w:top w:val="none" w:sz="0" w:space="0" w:color="auto"/>
                                            <w:left w:val="none" w:sz="0" w:space="0" w:color="auto"/>
                                            <w:bottom w:val="none" w:sz="0" w:space="0" w:color="auto"/>
                                            <w:right w:val="none" w:sz="0" w:space="0" w:color="auto"/>
                                          </w:divBdr>
                                          <w:divsChild>
                                            <w:div w:id="1830515648">
                                              <w:marLeft w:val="0"/>
                                              <w:marRight w:val="0"/>
                                              <w:marTop w:val="0"/>
                                              <w:marBottom w:val="0"/>
                                              <w:divBdr>
                                                <w:top w:val="none" w:sz="0" w:space="0" w:color="auto"/>
                                                <w:left w:val="none" w:sz="0" w:space="0" w:color="auto"/>
                                                <w:bottom w:val="none" w:sz="0" w:space="0" w:color="auto"/>
                                                <w:right w:val="none" w:sz="0" w:space="0" w:color="auto"/>
                                              </w:divBdr>
                                              <w:divsChild>
                                                <w:div w:id="1688217459">
                                                  <w:marLeft w:val="0"/>
                                                  <w:marRight w:val="0"/>
                                                  <w:marTop w:val="0"/>
                                                  <w:marBottom w:val="0"/>
                                                  <w:divBdr>
                                                    <w:top w:val="none" w:sz="0" w:space="0" w:color="auto"/>
                                                    <w:left w:val="none" w:sz="0" w:space="0" w:color="auto"/>
                                                    <w:bottom w:val="none" w:sz="0" w:space="0" w:color="auto"/>
                                                    <w:right w:val="none" w:sz="0" w:space="0" w:color="auto"/>
                                                  </w:divBdr>
                                                  <w:divsChild>
                                                    <w:div w:id="20701544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929697985">
      <w:bodyDiv w:val="1"/>
      <w:marLeft w:val="0"/>
      <w:marRight w:val="0"/>
      <w:marTop w:val="0"/>
      <w:marBottom w:val="0"/>
      <w:divBdr>
        <w:top w:val="none" w:sz="0" w:space="0" w:color="auto"/>
        <w:left w:val="none" w:sz="0" w:space="0" w:color="auto"/>
        <w:bottom w:val="none" w:sz="0" w:space="0" w:color="auto"/>
        <w:right w:val="none" w:sz="0" w:space="0" w:color="auto"/>
      </w:divBdr>
    </w:div>
    <w:div w:id="997802382">
      <w:bodyDiv w:val="1"/>
      <w:marLeft w:val="0"/>
      <w:marRight w:val="0"/>
      <w:marTop w:val="0"/>
      <w:marBottom w:val="0"/>
      <w:divBdr>
        <w:top w:val="single" w:sz="48" w:space="0" w:color="4F4939"/>
        <w:left w:val="none" w:sz="0" w:space="0" w:color="auto"/>
        <w:bottom w:val="none" w:sz="0" w:space="0" w:color="auto"/>
        <w:right w:val="none" w:sz="0" w:space="0" w:color="auto"/>
      </w:divBdr>
      <w:divsChild>
        <w:div w:id="1854031928">
          <w:marLeft w:val="0"/>
          <w:marRight w:val="0"/>
          <w:marTop w:val="0"/>
          <w:marBottom w:val="0"/>
          <w:divBdr>
            <w:top w:val="none" w:sz="0" w:space="0" w:color="auto"/>
            <w:left w:val="none" w:sz="0" w:space="0" w:color="auto"/>
            <w:bottom w:val="none" w:sz="0" w:space="0" w:color="auto"/>
            <w:right w:val="none" w:sz="0" w:space="0" w:color="auto"/>
          </w:divBdr>
          <w:divsChild>
            <w:div w:id="628239686">
              <w:marLeft w:val="0"/>
              <w:marRight w:val="0"/>
              <w:marTop w:val="0"/>
              <w:marBottom w:val="0"/>
              <w:divBdr>
                <w:top w:val="none" w:sz="0" w:space="0" w:color="auto"/>
                <w:left w:val="none" w:sz="0" w:space="0" w:color="auto"/>
                <w:bottom w:val="none" w:sz="0" w:space="0" w:color="auto"/>
                <w:right w:val="none" w:sz="0" w:space="0" w:color="auto"/>
              </w:divBdr>
              <w:divsChild>
                <w:div w:id="904410280">
                  <w:marLeft w:val="0"/>
                  <w:marRight w:val="0"/>
                  <w:marTop w:val="75"/>
                  <w:marBottom w:val="0"/>
                  <w:divBdr>
                    <w:top w:val="none" w:sz="0" w:space="0" w:color="auto"/>
                    <w:left w:val="none" w:sz="0" w:space="0" w:color="auto"/>
                    <w:bottom w:val="none" w:sz="0" w:space="0" w:color="auto"/>
                    <w:right w:val="none" w:sz="0" w:space="0" w:color="auto"/>
                  </w:divBdr>
                  <w:divsChild>
                    <w:div w:id="101457973">
                      <w:marLeft w:val="0"/>
                      <w:marRight w:val="0"/>
                      <w:marTop w:val="0"/>
                      <w:marBottom w:val="0"/>
                      <w:divBdr>
                        <w:top w:val="none" w:sz="0" w:space="0" w:color="auto"/>
                        <w:left w:val="none" w:sz="0" w:space="0" w:color="auto"/>
                        <w:bottom w:val="none" w:sz="0" w:space="0" w:color="auto"/>
                        <w:right w:val="none" w:sz="0" w:space="0" w:color="auto"/>
                      </w:divBdr>
                      <w:divsChild>
                        <w:div w:id="1139961787">
                          <w:marLeft w:val="75"/>
                          <w:marRight w:val="150"/>
                          <w:marTop w:val="0"/>
                          <w:marBottom w:val="0"/>
                          <w:divBdr>
                            <w:top w:val="none" w:sz="0" w:space="0" w:color="auto"/>
                            <w:left w:val="none" w:sz="0" w:space="0" w:color="auto"/>
                            <w:bottom w:val="none" w:sz="0" w:space="0" w:color="auto"/>
                            <w:right w:val="none" w:sz="0" w:space="0" w:color="auto"/>
                          </w:divBdr>
                          <w:divsChild>
                            <w:div w:id="1040478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676">
      <w:bodyDiv w:val="1"/>
      <w:marLeft w:val="279"/>
      <w:marRight w:val="279"/>
      <w:marTop w:val="0"/>
      <w:marBottom w:val="0"/>
      <w:divBdr>
        <w:top w:val="none" w:sz="0" w:space="0" w:color="auto"/>
        <w:left w:val="none" w:sz="0" w:space="0" w:color="auto"/>
        <w:bottom w:val="none" w:sz="0" w:space="0" w:color="auto"/>
        <w:right w:val="none" w:sz="0" w:space="0" w:color="auto"/>
      </w:divBdr>
    </w:div>
    <w:div w:id="1267691238">
      <w:bodyDiv w:val="1"/>
      <w:marLeft w:val="0"/>
      <w:marRight w:val="0"/>
      <w:marTop w:val="0"/>
      <w:marBottom w:val="0"/>
      <w:divBdr>
        <w:top w:val="none" w:sz="0" w:space="0" w:color="auto"/>
        <w:left w:val="none" w:sz="0" w:space="0" w:color="auto"/>
        <w:bottom w:val="none" w:sz="0" w:space="0" w:color="auto"/>
        <w:right w:val="none" w:sz="0" w:space="0" w:color="auto"/>
      </w:divBdr>
    </w:div>
    <w:div w:id="1298224649">
      <w:bodyDiv w:val="1"/>
      <w:marLeft w:val="279"/>
      <w:marRight w:val="279"/>
      <w:marTop w:val="0"/>
      <w:marBottom w:val="0"/>
      <w:divBdr>
        <w:top w:val="none" w:sz="0" w:space="0" w:color="auto"/>
        <w:left w:val="none" w:sz="0" w:space="0" w:color="auto"/>
        <w:bottom w:val="none" w:sz="0" w:space="0" w:color="auto"/>
        <w:right w:val="none" w:sz="0" w:space="0" w:color="auto"/>
      </w:divBdr>
    </w:div>
    <w:div w:id="1477793718">
      <w:bodyDiv w:val="1"/>
      <w:marLeft w:val="279"/>
      <w:marRight w:val="279"/>
      <w:marTop w:val="0"/>
      <w:marBottom w:val="0"/>
      <w:divBdr>
        <w:top w:val="none" w:sz="0" w:space="0" w:color="auto"/>
        <w:left w:val="none" w:sz="0" w:space="0" w:color="auto"/>
        <w:bottom w:val="none" w:sz="0" w:space="0" w:color="auto"/>
        <w:right w:val="none" w:sz="0" w:space="0" w:color="auto"/>
      </w:divBdr>
      <w:divsChild>
        <w:div w:id="1986738492">
          <w:marLeft w:val="580"/>
          <w:marRight w:val="580"/>
          <w:marTop w:val="258"/>
          <w:marBottom w:val="0"/>
          <w:divBdr>
            <w:top w:val="none" w:sz="0" w:space="0" w:color="auto"/>
            <w:left w:val="none" w:sz="0" w:space="0" w:color="auto"/>
            <w:bottom w:val="none" w:sz="0" w:space="0" w:color="auto"/>
            <w:right w:val="none" w:sz="0" w:space="0" w:color="auto"/>
          </w:divBdr>
          <w:divsChild>
            <w:div w:id="357967941">
              <w:marLeft w:val="2869"/>
              <w:marRight w:val="580"/>
              <w:marTop w:val="0"/>
              <w:marBottom w:val="0"/>
              <w:divBdr>
                <w:top w:val="none" w:sz="0" w:space="0" w:color="auto"/>
                <w:left w:val="none" w:sz="0" w:space="0" w:color="auto"/>
                <w:bottom w:val="none" w:sz="0" w:space="0" w:color="auto"/>
                <w:right w:val="none" w:sz="0" w:space="0" w:color="auto"/>
              </w:divBdr>
            </w:div>
          </w:divsChild>
        </w:div>
      </w:divsChild>
    </w:div>
    <w:div w:id="1904637820">
      <w:bodyDiv w:val="1"/>
      <w:marLeft w:val="0"/>
      <w:marRight w:val="0"/>
      <w:marTop w:val="0"/>
      <w:marBottom w:val="0"/>
      <w:divBdr>
        <w:top w:val="none" w:sz="0" w:space="0" w:color="auto"/>
        <w:left w:val="none" w:sz="0" w:space="0" w:color="auto"/>
        <w:bottom w:val="none" w:sz="0" w:space="0" w:color="auto"/>
        <w:right w:val="none" w:sz="0" w:space="0" w:color="auto"/>
      </w:divBdr>
    </w:div>
    <w:div w:id="1984037321">
      <w:bodyDiv w:val="1"/>
      <w:marLeft w:val="0"/>
      <w:marRight w:val="0"/>
      <w:marTop w:val="0"/>
      <w:marBottom w:val="0"/>
      <w:divBdr>
        <w:top w:val="none" w:sz="0" w:space="0" w:color="auto"/>
        <w:left w:val="none" w:sz="0" w:space="0" w:color="auto"/>
        <w:bottom w:val="none" w:sz="0" w:space="0" w:color="auto"/>
        <w:right w:val="none" w:sz="0" w:space="0" w:color="auto"/>
      </w:divBdr>
      <w:divsChild>
        <w:div w:id="1508011756">
          <w:marLeft w:val="0"/>
          <w:marRight w:val="0"/>
          <w:marTop w:val="0"/>
          <w:marBottom w:val="0"/>
          <w:divBdr>
            <w:top w:val="none" w:sz="0" w:space="0" w:color="auto"/>
            <w:left w:val="none" w:sz="0" w:space="0" w:color="auto"/>
            <w:bottom w:val="none" w:sz="0" w:space="0" w:color="auto"/>
            <w:right w:val="none" w:sz="0" w:space="0" w:color="auto"/>
          </w:divBdr>
        </w:div>
        <w:div w:id="1049459332">
          <w:marLeft w:val="0"/>
          <w:marRight w:val="0"/>
          <w:marTop w:val="0"/>
          <w:marBottom w:val="300"/>
          <w:divBdr>
            <w:top w:val="none" w:sz="0" w:space="0" w:color="auto"/>
            <w:left w:val="none" w:sz="0" w:space="0" w:color="auto"/>
            <w:bottom w:val="none" w:sz="0" w:space="0" w:color="auto"/>
            <w:right w:val="none" w:sz="0" w:space="0" w:color="auto"/>
          </w:divBdr>
          <w:divsChild>
            <w:div w:id="1940600735">
              <w:marLeft w:val="0"/>
              <w:marRight w:val="300"/>
              <w:marTop w:val="0"/>
              <w:marBottom w:val="150"/>
              <w:divBdr>
                <w:top w:val="none" w:sz="0" w:space="0" w:color="auto"/>
                <w:left w:val="none" w:sz="0" w:space="0" w:color="auto"/>
                <w:bottom w:val="none" w:sz="0" w:space="0" w:color="auto"/>
                <w:right w:val="none" w:sz="0" w:space="0" w:color="auto"/>
              </w:divBdr>
            </w:div>
            <w:div w:id="1913080115">
              <w:marLeft w:val="0"/>
              <w:marRight w:val="0"/>
              <w:marTop w:val="0"/>
              <w:marBottom w:val="0"/>
              <w:divBdr>
                <w:top w:val="none" w:sz="0" w:space="0" w:color="auto"/>
                <w:left w:val="none" w:sz="0" w:space="0" w:color="auto"/>
                <w:bottom w:val="none" w:sz="0" w:space="0" w:color="auto"/>
                <w:right w:val="none" w:sz="0" w:space="0" w:color="auto"/>
              </w:divBdr>
            </w:div>
          </w:divsChild>
        </w:div>
        <w:div w:id="1692217281">
          <w:marLeft w:val="0"/>
          <w:marRight w:val="300"/>
          <w:marTop w:val="0"/>
          <w:marBottom w:val="300"/>
          <w:divBdr>
            <w:top w:val="none" w:sz="0" w:space="0" w:color="auto"/>
            <w:left w:val="none" w:sz="0" w:space="0" w:color="auto"/>
            <w:bottom w:val="none" w:sz="0" w:space="0" w:color="auto"/>
            <w:right w:val="none" w:sz="0" w:space="0" w:color="auto"/>
          </w:divBdr>
          <w:divsChild>
            <w:div w:id="1077940981">
              <w:marLeft w:val="0"/>
              <w:marRight w:val="0"/>
              <w:marTop w:val="0"/>
              <w:marBottom w:val="0"/>
              <w:divBdr>
                <w:top w:val="none" w:sz="0" w:space="0" w:color="auto"/>
                <w:left w:val="none" w:sz="0" w:space="0" w:color="auto"/>
                <w:bottom w:val="none" w:sz="0" w:space="0" w:color="auto"/>
                <w:right w:val="none" w:sz="0" w:space="0" w:color="auto"/>
              </w:divBdr>
            </w:div>
            <w:div w:id="1385714019">
              <w:marLeft w:val="0"/>
              <w:marRight w:val="0"/>
              <w:marTop w:val="0"/>
              <w:marBottom w:val="0"/>
              <w:divBdr>
                <w:top w:val="none" w:sz="0" w:space="0" w:color="auto"/>
                <w:left w:val="none" w:sz="0" w:space="0" w:color="auto"/>
                <w:bottom w:val="none" w:sz="0" w:space="0" w:color="auto"/>
                <w:right w:val="none" w:sz="0" w:space="0" w:color="auto"/>
              </w:divBdr>
            </w:div>
          </w:divsChild>
        </w:div>
        <w:div w:id="698360264">
          <w:marLeft w:val="0"/>
          <w:marRight w:val="300"/>
          <w:marTop w:val="0"/>
          <w:marBottom w:val="300"/>
          <w:divBdr>
            <w:top w:val="none" w:sz="0" w:space="0" w:color="auto"/>
            <w:left w:val="none" w:sz="0" w:space="0" w:color="auto"/>
            <w:bottom w:val="none" w:sz="0" w:space="0" w:color="auto"/>
            <w:right w:val="none" w:sz="0" w:space="0" w:color="auto"/>
          </w:divBdr>
          <w:divsChild>
            <w:div w:id="451556474">
              <w:marLeft w:val="0"/>
              <w:marRight w:val="0"/>
              <w:marTop w:val="0"/>
              <w:marBottom w:val="0"/>
              <w:divBdr>
                <w:top w:val="none" w:sz="0" w:space="0" w:color="auto"/>
                <w:left w:val="none" w:sz="0" w:space="0" w:color="auto"/>
                <w:bottom w:val="none" w:sz="0" w:space="0" w:color="auto"/>
                <w:right w:val="none" w:sz="0" w:space="0" w:color="auto"/>
              </w:divBdr>
            </w:div>
            <w:div w:id="932325980">
              <w:marLeft w:val="0"/>
              <w:marRight w:val="0"/>
              <w:marTop w:val="0"/>
              <w:marBottom w:val="0"/>
              <w:divBdr>
                <w:top w:val="none" w:sz="0" w:space="0" w:color="auto"/>
                <w:left w:val="none" w:sz="0" w:space="0" w:color="auto"/>
                <w:bottom w:val="none" w:sz="0" w:space="0" w:color="auto"/>
                <w:right w:val="none" w:sz="0" w:space="0" w:color="auto"/>
              </w:divBdr>
            </w:div>
          </w:divsChild>
        </w:div>
        <w:div w:id="330569563">
          <w:marLeft w:val="0"/>
          <w:marRight w:val="0"/>
          <w:marTop w:val="0"/>
          <w:marBottom w:val="300"/>
          <w:divBdr>
            <w:top w:val="none" w:sz="0" w:space="0" w:color="auto"/>
            <w:left w:val="none" w:sz="0" w:space="0" w:color="auto"/>
            <w:bottom w:val="none" w:sz="0" w:space="0" w:color="auto"/>
            <w:right w:val="none" w:sz="0" w:space="0" w:color="auto"/>
          </w:divBdr>
          <w:divsChild>
            <w:div w:id="169419819">
              <w:marLeft w:val="0"/>
              <w:marRight w:val="0"/>
              <w:marTop w:val="0"/>
              <w:marBottom w:val="0"/>
              <w:divBdr>
                <w:top w:val="none" w:sz="0" w:space="0" w:color="auto"/>
                <w:left w:val="none" w:sz="0" w:space="0" w:color="auto"/>
                <w:bottom w:val="none" w:sz="0" w:space="0" w:color="auto"/>
                <w:right w:val="none" w:sz="0" w:space="0" w:color="auto"/>
              </w:divBdr>
            </w:div>
            <w:div w:id="432750617">
              <w:marLeft w:val="0"/>
              <w:marRight w:val="0"/>
              <w:marTop w:val="0"/>
              <w:marBottom w:val="0"/>
              <w:divBdr>
                <w:top w:val="none" w:sz="0" w:space="0" w:color="auto"/>
                <w:left w:val="none" w:sz="0" w:space="0" w:color="auto"/>
                <w:bottom w:val="none" w:sz="0" w:space="0" w:color="auto"/>
                <w:right w:val="none" w:sz="0" w:space="0" w:color="auto"/>
              </w:divBdr>
            </w:div>
          </w:divsChild>
        </w:div>
        <w:div w:id="1747536527">
          <w:marLeft w:val="0"/>
          <w:marRight w:val="300"/>
          <w:marTop w:val="0"/>
          <w:marBottom w:val="300"/>
          <w:divBdr>
            <w:top w:val="none" w:sz="0" w:space="0" w:color="auto"/>
            <w:left w:val="none" w:sz="0" w:space="0" w:color="auto"/>
            <w:bottom w:val="none" w:sz="0" w:space="0" w:color="auto"/>
            <w:right w:val="none" w:sz="0" w:space="0" w:color="auto"/>
          </w:divBdr>
          <w:divsChild>
            <w:div w:id="80376749">
              <w:marLeft w:val="0"/>
              <w:marRight w:val="0"/>
              <w:marTop w:val="0"/>
              <w:marBottom w:val="0"/>
              <w:divBdr>
                <w:top w:val="none" w:sz="0" w:space="0" w:color="auto"/>
                <w:left w:val="none" w:sz="0" w:space="0" w:color="auto"/>
                <w:bottom w:val="none" w:sz="0" w:space="0" w:color="auto"/>
                <w:right w:val="none" w:sz="0" w:space="0" w:color="auto"/>
              </w:divBdr>
            </w:div>
            <w:div w:id="1780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6B16-9FB1-4044-8607-2DEE5FBD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3640</Words>
  <Characters>20750</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ANPCA</Company>
  <LinksUpToDate>false</LinksUpToDate>
  <CharactersWithSpaces>24342</CharactersWithSpaces>
  <SharedDoc>false</SharedDoc>
  <HLinks>
    <vt:vector size="492" baseType="variant">
      <vt:variant>
        <vt:i4>2949121</vt:i4>
      </vt:variant>
      <vt:variant>
        <vt:i4>243</vt:i4>
      </vt:variant>
      <vt:variant>
        <vt:i4>0</vt:i4>
      </vt:variant>
      <vt:variant>
        <vt:i4>5</vt:i4>
      </vt:variant>
      <vt:variant>
        <vt:lpwstr>http://eur-lex.europa.eu/legal-content/RO/TXT/HTML/?uri=CELEX:52013AE0658&amp;from=RO</vt:lpwstr>
      </vt:variant>
      <vt:variant>
        <vt:lpwstr>ntc22-C_2013327RO.01005801-E0022</vt:lpwstr>
      </vt:variant>
      <vt:variant>
        <vt:i4>3014658</vt:i4>
      </vt:variant>
      <vt:variant>
        <vt:i4>240</vt:i4>
      </vt:variant>
      <vt:variant>
        <vt:i4>0</vt:i4>
      </vt:variant>
      <vt:variant>
        <vt:i4>5</vt:i4>
      </vt:variant>
      <vt:variant>
        <vt:lpwstr>http://eur-lex.europa.eu/legal-content/RO/TXT/HTML/?uri=CELEX:52013AE0658&amp;from=RO</vt:lpwstr>
      </vt:variant>
      <vt:variant>
        <vt:lpwstr>ntc21-C_2013327RO.01005801-E0021</vt:lpwstr>
      </vt:variant>
      <vt:variant>
        <vt:i4>3080195</vt:i4>
      </vt:variant>
      <vt:variant>
        <vt:i4>237</vt:i4>
      </vt:variant>
      <vt:variant>
        <vt:i4>0</vt:i4>
      </vt:variant>
      <vt:variant>
        <vt:i4>5</vt:i4>
      </vt:variant>
      <vt:variant>
        <vt:lpwstr>http://eur-lex.europa.eu/legal-content/RO/TXT/HTML/?uri=CELEX:52013AE0658&amp;from=RO</vt:lpwstr>
      </vt:variant>
      <vt:variant>
        <vt:lpwstr>ntc20-C_2013327RO.01005801-E0020</vt:lpwstr>
      </vt:variant>
      <vt:variant>
        <vt:i4>2424841</vt:i4>
      </vt:variant>
      <vt:variant>
        <vt:i4>234</vt:i4>
      </vt:variant>
      <vt:variant>
        <vt:i4>0</vt:i4>
      </vt:variant>
      <vt:variant>
        <vt:i4>5</vt:i4>
      </vt:variant>
      <vt:variant>
        <vt:lpwstr>http://eur-lex.europa.eu/legal-content/RO/TXT/HTML/?uri=CELEX:52013AE0658&amp;from=RO</vt:lpwstr>
      </vt:variant>
      <vt:variant>
        <vt:lpwstr>ntc19-C_2013327RO.01005801-E0019</vt:lpwstr>
      </vt:variant>
      <vt:variant>
        <vt:i4>851977</vt:i4>
      </vt:variant>
      <vt:variant>
        <vt:i4>231</vt:i4>
      </vt:variant>
      <vt:variant>
        <vt:i4>0</vt:i4>
      </vt:variant>
      <vt:variant>
        <vt:i4>5</vt:i4>
      </vt:variant>
      <vt:variant>
        <vt:lpwstr>http://eur-lex.europa.eu/legal-content/RO/AUTO/?uri=OJ:C:2009:218:TOC</vt:lpwstr>
      </vt:variant>
      <vt:variant>
        <vt:lpwstr/>
      </vt:variant>
      <vt:variant>
        <vt:i4>589826</vt:i4>
      </vt:variant>
      <vt:variant>
        <vt:i4>228</vt:i4>
      </vt:variant>
      <vt:variant>
        <vt:i4>0</vt:i4>
      </vt:variant>
      <vt:variant>
        <vt:i4>5</vt:i4>
      </vt:variant>
      <vt:variant>
        <vt:lpwstr>http://eur-lex.europa.eu/legal-content/RO/AUTO/?uri=OJ:C:2008:151:TOC</vt:lpwstr>
      </vt:variant>
      <vt:variant>
        <vt:lpwstr/>
      </vt:variant>
      <vt:variant>
        <vt:i4>2359304</vt:i4>
      </vt:variant>
      <vt:variant>
        <vt:i4>225</vt:i4>
      </vt:variant>
      <vt:variant>
        <vt:i4>0</vt:i4>
      </vt:variant>
      <vt:variant>
        <vt:i4>5</vt:i4>
      </vt:variant>
      <vt:variant>
        <vt:lpwstr>http://eur-lex.europa.eu/legal-content/RO/TXT/HTML/?uri=CELEX:52013AE0658&amp;from=RO</vt:lpwstr>
      </vt:variant>
      <vt:variant>
        <vt:lpwstr>ntc18-C_2013327RO.01005801-E0018</vt:lpwstr>
      </vt:variant>
      <vt:variant>
        <vt:i4>2818055</vt:i4>
      </vt:variant>
      <vt:variant>
        <vt:i4>222</vt:i4>
      </vt:variant>
      <vt:variant>
        <vt:i4>0</vt:i4>
      </vt:variant>
      <vt:variant>
        <vt:i4>5</vt:i4>
      </vt:variant>
      <vt:variant>
        <vt:lpwstr>http://eur-lex.europa.eu/legal-content/RO/TXT/HTML/?uri=CELEX:52013AE0658&amp;from=RO</vt:lpwstr>
      </vt:variant>
      <vt:variant>
        <vt:lpwstr>ntc17-C_2013327RO.01005801-E0017</vt:lpwstr>
      </vt:variant>
      <vt:variant>
        <vt:i4>2752518</vt:i4>
      </vt:variant>
      <vt:variant>
        <vt:i4>219</vt:i4>
      </vt:variant>
      <vt:variant>
        <vt:i4>0</vt:i4>
      </vt:variant>
      <vt:variant>
        <vt:i4>5</vt:i4>
      </vt:variant>
      <vt:variant>
        <vt:lpwstr>http://eur-lex.europa.eu/legal-content/RO/TXT/HTML/?uri=CELEX:52013AE0658&amp;from=RO</vt:lpwstr>
      </vt:variant>
      <vt:variant>
        <vt:lpwstr>ntc16-C_2013327RO.01005801-E0016</vt:lpwstr>
      </vt:variant>
      <vt:variant>
        <vt:i4>2686981</vt:i4>
      </vt:variant>
      <vt:variant>
        <vt:i4>216</vt:i4>
      </vt:variant>
      <vt:variant>
        <vt:i4>0</vt:i4>
      </vt:variant>
      <vt:variant>
        <vt:i4>5</vt:i4>
      </vt:variant>
      <vt:variant>
        <vt:lpwstr>http://eur-lex.europa.eu/legal-content/RO/TXT/HTML/?uri=CELEX:52013AE0658&amp;from=RO</vt:lpwstr>
      </vt:variant>
      <vt:variant>
        <vt:lpwstr>ntc15-C_2013327RO.01005801-E0015</vt:lpwstr>
      </vt:variant>
      <vt:variant>
        <vt:i4>2621444</vt:i4>
      </vt:variant>
      <vt:variant>
        <vt:i4>213</vt:i4>
      </vt:variant>
      <vt:variant>
        <vt:i4>0</vt:i4>
      </vt:variant>
      <vt:variant>
        <vt:i4>5</vt:i4>
      </vt:variant>
      <vt:variant>
        <vt:lpwstr>http://eur-lex.europa.eu/legal-content/RO/TXT/HTML/?uri=CELEX:52013AE0658&amp;from=RO</vt:lpwstr>
      </vt:variant>
      <vt:variant>
        <vt:lpwstr>ntc14-C_2013327RO.01005801-E0014</vt:lpwstr>
      </vt:variant>
      <vt:variant>
        <vt:i4>655375</vt:i4>
      </vt:variant>
      <vt:variant>
        <vt:i4>210</vt:i4>
      </vt:variant>
      <vt:variant>
        <vt:i4>0</vt:i4>
      </vt:variant>
      <vt:variant>
        <vt:i4>5</vt:i4>
      </vt:variant>
      <vt:variant>
        <vt:lpwstr>http://eur-lex.europa.eu/legal-content/RO/AUTO/?uri=OJ:C:2013:076:TOC</vt:lpwstr>
      </vt:variant>
      <vt:variant>
        <vt:lpwstr/>
      </vt:variant>
      <vt:variant>
        <vt:i4>655375</vt:i4>
      </vt:variant>
      <vt:variant>
        <vt:i4>207</vt:i4>
      </vt:variant>
      <vt:variant>
        <vt:i4>0</vt:i4>
      </vt:variant>
      <vt:variant>
        <vt:i4>5</vt:i4>
      </vt:variant>
      <vt:variant>
        <vt:lpwstr>http://eur-lex.europa.eu/legal-content/RO/AUTO/?uri=OJ:C:2013:076:TOC</vt:lpwstr>
      </vt:variant>
      <vt:variant>
        <vt:lpwstr/>
      </vt:variant>
      <vt:variant>
        <vt:i4>589837</vt:i4>
      </vt:variant>
      <vt:variant>
        <vt:i4>204</vt:i4>
      </vt:variant>
      <vt:variant>
        <vt:i4>0</vt:i4>
      </vt:variant>
      <vt:variant>
        <vt:i4>5</vt:i4>
      </vt:variant>
      <vt:variant>
        <vt:lpwstr>http://eur-lex.europa.eu/legal-content/RO/AUTO/?uri=OJ:C:2013:044:TOC</vt:lpwstr>
      </vt:variant>
      <vt:variant>
        <vt:lpwstr/>
      </vt:variant>
      <vt:variant>
        <vt:i4>983043</vt:i4>
      </vt:variant>
      <vt:variant>
        <vt:i4>201</vt:i4>
      </vt:variant>
      <vt:variant>
        <vt:i4>0</vt:i4>
      </vt:variant>
      <vt:variant>
        <vt:i4>5</vt:i4>
      </vt:variant>
      <vt:variant>
        <vt:lpwstr>http://eur-lex.europa.eu/legal-content/RO/AUTO/?uri=OJ:C:2012:229:TOC</vt:lpwstr>
      </vt:variant>
      <vt:variant>
        <vt:lpwstr/>
      </vt:variant>
      <vt:variant>
        <vt:i4>262147</vt:i4>
      </vt:variant>
      <vt:variant>
        <vt:i4>198</vt:i4>
      </vt:variant>
      <vt:variant>
        <vt:i4>0</vt:i4>
      </vt:variant>
      <vt:variant>
        <vt:i4>5</vt:i4>
      </vt:variant>
      <vt:variant>
        <vt:lpwstr>http://eur-lex.europa.eu/legal-content/RO/AUTO/?uri=OJ:C:2012:299:TOC</vt:lpwstr>
      </vt:variant>
      <vt:variant>
        <vt:lpwstr/>
      </vt:variant>
      <vt:variant>
        <vt:i4>327688</vt:i4>
      </vt:variant>
      <vt:variant>
        <vt:i4>195</vt:i4>
      </vt:variant>
      <vt:variant>
        <vt:i4>0</vt:i4>
      </vt:variant>
      <vt:variant>
        <vt:i4>5</vt:i4>
      </vt:variant>
      <vt:variant>
        <vt:lpwstr>http://eur-lex.europa.eu/legal-content/RO/AUTO/?uri=OJ:C:2012:181:TOC</vt:lpwstr>
      </vt:variant>
      <vt:variant>
        <vt:lpwstr/>
      </vt:variant>
      <vt:variant>
        <vt:i4>786432</vt:i4>
      </vt:variant>
      <vt:variant>
        <vt:i4>192</vt:i4>
      </vt:variant>
      <vt:variant>
        <vt:i4>0</vt:i4>
      </vt:variant>
      <vt:variant>
        <vt:i4>5</vt:i4>
      </vt:variant>
      <vt:variant>
        <vt:lpwstr>http://eur-lex.europa.eu/legal-content/RO/AUTO/?uri=OJ:C:2011:318:TOC</vt:lpwstr>
      </vt:variant>
      <vt:variant>
        <vt:lpwstr/>
      </vt:variant>
      <vt:variant>
        <vt:i4>917512</vt:i4>
      </vt:variant>
      <vt:variant>
        <vt:i4>189</vt:i4>
      </vt:variant>
      <vt:variant>
        <vt:i4>0</vt:i4>
      </vt:variant>
      <vt:variant>
        <vt:i4>5</vt:i4>
      </vt:variant>
      <vt:variant>
        <vt:lpwstr>http://eur-lex.europa.eu/legal-content/RO/AUTO/?uri=OJ:C:2011:132:TOC</vt:lpwstr>
      </vt:variant>
      <vt:variant>
        <vt:lpwstr/>
      </vt:variant>
      <vt:variant>
        <vt:i4>786438</vt:i4>
      </vt:variant>
      <vt:variant>
        <vt:i4>186</vt:i4>
      </vt:variant>
      <vt:variant>
        <vt:i4>0</vt:i4>
      </vt:variant>
      <vt:variant>
        <vt:i4>5</vt:i4>
      </vt:variant>
      <vt:variant>
        <vt:lpwstr>http://eur-lex.europa.eu/legal-content/RO/AUTO/?uri=OJ:C:2009:306:TOC</vt:lpwstr>
      </vt:variant>
      <vt:variant>
        <vt:lpwstr/>
      </vt:variant>
      <vt:variant>
        <vt:i4>851977</vt:i4>
      </vt:variant>
      <vt:variant>
        <vt:i4>183</vt:i4>
      </vt:variant>
      <vt:variant>
        <vt:i4>0</vt:i4>
      </vt:variant>
      <vt:variant>
        <vt:i4>5</vt:i4>
      </vt:variant>
      <vt:variant>
        <vt:lpwstr>http://eur-lex.europa.eu/legal-content/RO/AUTO/?uri=OJ:C:2009:218:TOC</vt:lpwstr>
      </vt:variant>
      <vt:variant>
        <vt:lpwstr/>
      </vt:variant>
      <vt:variant>
        <vt:i4>327692</vt:i4>
      </vt:variant>
      <vt:variant>
        <vt:i4>180</vt:i4>
      </vt:variant>
      <vt:variant>
        <vt:i4>0</vt:i4>
      </vt:variant>
      <vt:variant>
        <vt:i4>5</vt:i4>
      </vt:variant>
      <vt:variant>
        <vt:lpwstr>http://eur-lex.europa.eu/legal-content/RO/AUTO/?uri=OJ:C:2003:095:TOC</vt:lpwstr>
      </vt:variant>
      <vt:variant>
        <vt:lpwstr/>
      </vt:variant>
      <vt:variant>
        <vt:i4>3080195</vt:i4>
      </vt:variant>
      <vt:variant>
        <vt:i4>177</vt:i4>
      </vt:variant>
      <vt:variant>
        <vt:i4>0</vt:i4>
      </vt:variant>
      <vt:variant>
        <vt:i4>5</vt:i4>
      </vt:variant>
      <vt:variant>
        <vt:lpwstr>http://eur-lex.europa.eu/legal-content/RO/TXT/HTML/?uri=CELEX:52013AE0658&amp;from=RO</vt:lpwstr>
      </vt:variant>
      <vt:variant>
        <vt:lpwstr>ntc13-C_2013327RO.01005801-E0013</vt:lpwstr>
      </vt:variant>
      <vt:variant>
        <vt:i4>3014658</vt:i4>
      </vt:variant>
      <vt:variant>
        <vt:i4>174</vt:i4>
      </vt:variant>
      <vt:variant>
        <vt:i4>0</vt:i4>
      </vt:variant>
      <vt:variant>
        <vt:i4>5</vt:i4>
      </vt:variant>
      <vt:variant>
        <vt:lpwstr>http://eur-lex.europa.eu/legal-content/RO/TXT/HTML/?uri=CELEX:52013AE0658&amp;from=RO</vt:lpwstr>
      </vt:variant>
      <vt:variant>
        <vt:lpwstr>ntc12-C_2013327RO.01005801-E0012</vt:lpwstr>
      </vt:variant>
      <vt:variant>
        <vt:i4>2949121</vt:i4>
      </vt:variant>
      <vt:variant>
        <vt:i4>171</vt:i4>
      </vt:variant>
      <vt:variant>
        <vt:i4>0</vt:i4>
      </vt:variant>
      <vt:variant>
        <vt:i4>5</vt:i4>
      </vt:variant>
      <vt:variant>
        <vt:lpwstr>http://eur-lex.europa.eu/legal-content/RO/TXT/HTML/?uri=CELEX:52013AE0658&amp;from=RO</vt:lpwstr>
      </vt:variant>
      <vt:variant>
        <vt:lpwstr>ntc11-C_2013327RO.01005801-E0011</vt:lpwstr>
      </vt:variant>
      <vt:variant>
        <vt:i4>2883584</vt:i4>
      </vt:variant>
      <vt:variant>
        <vt:i4>168</vt:i4>
      </vt:variant>
      <vt:variant>
        <vt:i4>0</vt:i4>
      </vt:variant>
      <vt:variant>
        <vt:i4>5</vt:i4>
      </vt:variant>
      <vt:variant>
        <vt:lpwstr>http://eur-lex.europa.eu/legal-content/RO/TXT/HTML/?uri=CELEX:52013AE0658&amp;from=RO</vt:lpwstr>
      </vt:variant>
      <vt:variant>
        <vt:lpwstr>ntc10-C_2013327RO.01005801-E0010</vt:lpwstr>
      </vt:variant>
      <vt:variant>
        <vt:i4>7667792</vt:i4>
      </vt:variant>
      <vt:variant>
        <vt:i4>165</vt:i4>
      </vt:variant>
      <vt:variant>
        <vt:i4>0</vt:i4>
      </vt:variant>
      <vt:variant>
        <vt:i4>5</vt:i4>
      </vt:variant>
      <vt:variant>
        <vt:lpwstr>http://eur-lex.europa.eu/legal-content/RO/TXT/HTML/?uri=CELEX:52013AE0658&amp;from=RO</vt:lpwstr>
      </vt:variant>
      <vt:variant>
        <vt:lpwstr>ntc9-C_2013327RO.01005801-E0009</vt:lpwstr>
      </vt:variant>
      <vt:variant>
        <vt:i4>786435</vt:i4>
      </vt:variant>
      <vt:variant>
        <vt:i4>162</vt:i4>
      </vt:variant>
      <vt:variant>
        <vt:i4>0</vt:i4>
      </vt:variant>
      <vt:variant>
        <vt:i4>5</vt:i4>
      </vt:variant>
      <vt:variant>
        <vt:lpwstr>http://eur-lex.europa.eu/legal-content/RO/AUTO/?uri=OJ:C:2011:018:TOC</vt:lpwstr>
      </vt:variant>
      <vt:variant>
        <vt:lpwstr/>
      </vt:variant>
      <vt:variant>
        <vt:i4>7602256</vt:i4>
      </vt:variant>
      <vt:variant>
        <vt:i4>159</vt:i4>
      </vt:variant>
      <vt:variant>
        <vt:i4>0</vt:i4>
      </vt:variant>
      <vt:variant>
        <vt:i4>5</vt:i4>
      </vt:variant>
      <vt:variant>
        <vt:lpwstr>http://eur-lex.europa.eu/legal-content/RO/TXT/HTML/?uri=CELEX:52013AE0658&amp;from=RO</vt:lpwstr>
      </vt:variant>
      <vt:variant>
        <vt:lpwstr>ntc8-C_2013327RO.01005801-E0008</vt:lpwstr>
      </vt:variant>
      <vt:variant>
        <vt:i4>8061008</vt:i4>
      </vt:variant>
      <vt:variant>
        <vt:i4>156</vt:i4>
      </vt:variant>
      <vt:variant>
        <vt:i4>0</vt:i4>
      </vt:variant>
      <vt:variant>
        <vt:i4>5</vt:i4>
      </vt:variant>
      <vt:variant>
        <vt:lpwstr>http://eur-lex.europa.eu/legal-content/RO/TXT/HTML/?uri=CELEX:52013AE0658&amp;from=RO</vt:lpwstr>
      </vt:variant>
      <vt:variant>
        <vt:lpwstr>ntc7-C_2013327RO.01005801-E0007</vt:lpwstr>
      </vt:variant>
      <vt:variant>
        <vt:i4>7995472</vt:i4>
      </vt:variant>
      <vt:variant>
        <vt:i4>153</vt:i4>
      </vt:variant>
      <vt:variant>
        <vt:i4>0</vt:i4>
      </vt:variant>
      <vt:variant>
        <vt:i4>5</vt:i4>
      </vt:variant>
      <vt:variant>
        <vt:lpwstr>http://eur-lex.europa.eu/legal-content/RO/TXT/HTML/?uri=CELEX:52013AE0658&amp;from=RO</vt:lpwstr>
      </vt:variant>
      <vt:variant>
        <vt:lpwstr>ntc6-C_2013327RO.01005801-E0006</vt:lpwstr>
      </vt:variant>
      <vt:variant>
        <vt:i4>7929936</vt:i4>
      </vt:variant>
      <vt:variant>
        <vt:i4>150</vt:i4>
      </vt:variant>
      <vt:variant>
        <vt:i4>0</vt:i4>
      </vt:variant>
      <vt:variant>
        <vt:i4>5</vt:i4>
      </vt:variant>
      <vt:variant>
        <vt:lpwstr>http://eur-lex.europa.eu/legal-content/RO/TXT/HTML/?uri=CELEX:52013AE0658&amp;from=RO</vt:lpwstr>
      </vt:variant>
      <vt:variant>
        <vt:lpwstr>ntc5-C_2013327RO.01005801-E0005</vt:lpwstr>
      </vt:variant>
      <vt:variant>
        <vt:i4>7864400</vt:i4>
      </vt:variant>
      <vt:variant>
        <vt:i4>147</vt:i4>
      </vt:variant>
      <vt:variant>
        <vt:i4>0</vt:i4>
      </vt:variant>
      <vt:variant>
        <vt:i4>5</vt:i4>
      </vt:variant>
      <vt:variant>
        <vt:lpwstr>http://eur-lex.europa.eu/legal-content/RO/TXT/HTML/?uri=CELEX:52013AE0658&amp;from=RO</vt:lpwstr>
      </vt:variant>
      <vt:variant>
        <vt:lpwstr>ntc4-C_2013327RO.01005801-E0004</vt:lpwstr>
      </vt:variant>
      <vt:variant>
        <vt:i4>8323152</vt:i4>
      </vt:variant>
      <vt:variant>
        <vt:i4>144</vt:i4>
      </vt:variant>
      <vt:variant>
        <vt:i4>0</vt:i4>
      </vt:variant>
      <vt:variant>
        <vt:i4>5</vt:i4>
      </vt:variant>
      <vt:variant>
        <vt:lpwstr>http://eur-lex.europa.eu/legal-content/RO/TXT/HTML/?uri=CELEX:52013AE0658&amp;from=RO</vt:lpwstr>
      </vt:variant>
      <vt:variant>
        <vt:lpwstr>ntc3-C_2013327RO.01005801-E0003</vt:lpwstr>
      </vt:variant>
      <vt:variant>
        <vt:i4>589826</vt:i4>
      </vt:variant>
      <vt:variant>
        <vt:i4>141</vt:i4>
      </vt:variant>
      <vt:variant>
        <vt:i4>0</vt:i4>
      </vt:variant>
      <vt:variant>
        <vt:i4>5</vt:i4>
      </vt:variant>
      <vt:variant>
        <vt:lpwstr>http://eur-lex.europa.eu/legal-content/RO/AUTO/?uri=OJ:C:2008:151:TOC</vt:lpwstr>
      </vt:variant>
      <vt:variant>
        <vt:lpwstr/>
      </vt:variant>
      <vt:variant>
        <vt:i4>851977</vt:i4>
      </vt:variant>
      <vt:variant>
        <vt:i4>138</vt:i4>
      </vt:variant>
      <vt:variant>
        <vt:i4>0</vt:i4>
      </vt:variant>
      <vt:variant>
        <vt:i4>5</vt:i4>
      </vt:variant>
      <vt:variant>
        <vt:lpwstr>http://eur-lex.europa.eu/legal-content/RO/AUTO/?uri=OJ:C:2009:218:TOC</vt:lpwstr>
      </vt:variant>
      <vt:variant>
        <vt:lpwstr/>
      </vt:variant>
      <vt:variant>
        <vt:i4>589826</vt:i4>
      </vt:variant>
      <vt:variant>
        <vt:i4>135</vt:i4>
      </vt:variant>
      <vt:variant>
        <vt:i4>0</vt:i4>
      </vt:variant>
      <vt:variant>
        <vt:i4>5</vt:i4>
      </vt:variant>
      <vt:variant>
        <vt:lpwstr>http://eur-lex.europa.eu/legal-content/RO/AUTO/?uri=OJ:C:2008:151:TOC</vt:lpwstr>
      </vt:variant>
      <vt:variant>
        <vt:lpwstr/>
      </vt:variant>
      <vt:variant>
        <vt:i4>786436</vt:i4>
      </vt:variant>
      <vt:variant>
        <vt:i4>132</vt:i4>
      </vt:variant>
      <vt:variant>
        <vt:i4>0</vt:i4>
      </vt:variant>
      <vt:variant>
        <vt:i4>5</vt:i4>
      </vt:variant>
      <vt:variant>
        <vt:lpwstr>http://eur-lex.europa.eu/legal-content/RO/AUTO/?uri=OJ:C:2008:204:TOC</vt:lpwstr>
      </vt:variant>
      <vt:variant>
        <vt:lpwstr/>
      </vt:variant>
      <vt:variant>
        <vt:i4>917508</vt:i4>
      </vt:variant>
      <vt:variant>
        <vt:i4>129</vt:i4>
      </vt:variant>
      <vt:variant>
        <vt:i4>0</vt:i4>
      </vt:variant>
      <vt:variant>
        <vt:i4>5</vt:i4>
      </vt:variant>
      <vt:variant>
        <vt:lpwstr>http://eur-lex.europa.eu/legal-content/RO/AUTO/?uri=OJ:C:2008:224:TOC</vt:lpwstr>
      </vt:variant>
      <vt:variant>
        <vt:lpwstr/>
      </vt:variant>
      <vt:variant>
        <vt:i4>983043</vt:i4>
      </vt:variant>
      <vt:variant>
        <vt:i4>126</vt:i4>
      </vt:variant>
      <vt:variant>
        <vt:i4>0</vt:i4>
      </vt:variant>
      <vt:variant>
        <vt:i4>5</vt:i4>
      </vt:variant>
      <vt:variant>
        <vt:lpwstr>http://eur-lex.europa.eu/legal-content/RO/AUTO/?uri=OJ:C:2010:128:TOC</vt:lpwstr>
      </vt:variant>
      <vt:variant>
        <vt:lpwstr/>
      </vt:variant>
      <vt:variant>
        <vt:i4>851976</vt:i4>
      </vt:variant>
      <vt:variant>
        <vt:i4>123</vt:i4>
      </vt:variant>
      <vt:variant>
        <vt:i4>0</vt:i4>
      </vt:variant>
      <vt:variant>
        <vt:i4>5</vt:i4>
      </vt:variant>
      <vt:variant>
        <vt:lpwstr>http://eur-lex.europa.eu/legal-content/RO/AUTO/?uri=OJ:C:2009:318:TOC</vt:lpwstr>
      </vt:variant>
      <vt:variant>
        <vt:lpwstr/>
      </vt:variant>
      <vt:variant>
        <vt:i4>524301</vt:i4>
      </vt:variant>
      <vt:variant>
        <vt:i4>120</vt:i4>
      </vt:variant>
      <vt:variant>
        <vt:i4>0</vt:i4>
      </vt:variant>
      <vt:variant>
        <vt:i4>5</vt:i4>
      </vt:variant>
      <vt:variant>
        <vt:lpwstr>http://eur-lex.europa.eu/legal-content/RO/AUTO/?uri=OJ:C:2010:255:TOC</vt:lpwstr>
      </vt:variant>
      <vt:variant>
        <vt:lpwstr/>
      </vt:variant>
      <vt:variant>
        <vt:i4>983050</vt:i4>
      </vt:variant>
      <vt:variant>
        <vt:i4>117</vt:i4>
      </vt:variant>
      <vt:variant>
        <vt:i4>0</vt:i4>
      </vt:variant>
      <vt:variant>
        <vt:i4>5</vt:i4>
      </vt:variant>
      <vt:variant>
        <vt:lpwstr>http://eur-lex.europa.eu/legal-content/RO/AUTO/?uri=OJ:C:2011:021:TOC</vt:lpwstr>
      </vt:variant>
      <vt:variant>
        <vt:lpwstr/>
      </vt:variant>
      <vt:variant>
        <vt:i4>917512</vt:i4>
      </vt:variant>
      <vt:variant>
        <vt:i4>114</vt:i4>
      </vt:variant>
      <vt:variant>
        <vt:i4>0</vt:i4>
      </vt:variant>
      <vt:variant>
        <vt:i4>5</vt:i4>
      </vt:variant>
      <vt:variant>
        <vt:lpwstr>http://eur-lex.europa.eu/legal-content/RO/AUTO/?uri=OJ:C:2011:132:TOC</vt:lpwstr>
      </vt:variant>
      <vt:variant>
        <vt:lpwstr/>
      </vt:variant>
      <vt:variant>
        <vt:i4>786432</vt:i4>
      </vt:variant>
      <vt:variant>
        <vt:i4>111</vt:i4>
      </vt:variant>
      <vt:variant>
        <vt:i4>0</vt:i4>
      </vt:variant>
      <vt:variant>
        <vt:i4>5</vt:i4>
      </vt:variant>
      <vt:variant>
        <vt:lpwstr>http://eur-lex.europa.eu/legal-content/RO/AUTO/?uri=OJ:C:2011:318:TOC</vt:lpwstr>
      </vt:variant>
      <vt:variant>
        <vt:lpwstr/>
      </vt:variant>
      <vt:variant>
        <vt:i4>786432</vt:i4>
      </vt:variant>
      <vt:variant>
        <vt:i4>108</vt:i4>
      </vt:variant>
      <vt:variant>
        <vt:i4>0</vt:i4>
      </vt:variant>
      <vt:variant>
        <vt:i4>5</vt:i4>
      </vt:variant>
      <vt:variant>
        <vt:lpwstr>http://eur-lex.europa.eu/legal-content/RO/AUTO/?uri=OJ:C:2011:318:TOC</vt:lpwstr>
      </vt:variant>
      <vt:variant>
        <vt:lpwstr/>
      </vt:variant>
      <vt:variant>
        <vt:i4>720896</vt:i4>
      </vt:variant>
      <vt:variant>
        <vt:i4>105</vt:i4>
      </vt:variant>
      <vt:variant>
        <vt:i4>0</vt:i4>
      </vt:variant>
      <vt:variant>
        <vt:i4>5</vt:i4>
      </vt:variant>
      <vt:variant>
        <vt:lpwstr>http://eur-lex.europa.eu/legal-content/RO/AUTO/?uri=OJ:C:2012:068:TOC</vt:lpwstr>
      </vt:variant>
      <vt:variant>
        <vt:lpwstr/>
      </vt:variant>
      <vt:variant>
        <vt:i4>786432</vt:i4>
      </vt:variant>
      <vt:variant>
        <vt:i4>102</vt:i4>
      </vt:variant>
      <vt:variant>
        <vt:i4>0</vt:i4>
      </vt:variant>
      <vt:variant>
        <vt:i4>5</vt:i4>
      </vt:variant>
      <vt:variant>
        <vt:lpwstr>http://eur-lex.europa.eu/legal-content/RO/AUTO/?uri=OJ:C:2011:318:TOC</vt:lpwstr>
      </vt:variant>
      <vt:variant>
        <vt:lpwstr/>
      </vt:variant>
      <vt:variant>
        <vt:i4>720896</vt:i4>
      </vt:variant>
      <vt:variant>
        <vt:i4>99</vt:i4>
      </vt:variant>
      <vt:variant>
        <vt:i4>0</vt:i4>
      </vt:variant>
      <vt:variant>
        <vt:i4>5</vt:i4>
      </vt:variant>
      <vt:variant>
        <vt:lpwstr>http://eur-lex.europa.eu/legal-content/RO/AUTO/?uri=OJ:C:2012:068:TOC</vt:lpwstr>
      </vt:variant>
      <vt:variant>
        <vt:lpwstr/>
      </vt:variant>
      <vt:variant>
        <vt:i4>327688</vt:i4>
      </vt:variant>
      <vt:variant>
        <vt:i4>96</vt:i4>
      </vt:variant>
      <vt:variant>
        <vt:i4>0</vt:i4>
      </vt:variant>
      <vt:variant>
        <vt:i4>5</vt:i4>
      </vt:variant>
      <vt:variant>
        <vt:lpwstr>http://eur-lex.europa.eu/legal-content/RO/AUTO/?uri=OJ:C:2012:181:TOC</vt:lpwstr>
      </vt:variant>
      <vt:variant>
        <vt:lpwstr/>
      </vt:variant>
      <vt:variant>
        <vt:i4>589834</vt:i4>
      </vt:variant>
      <vt:variant>
        <vt:i4>93</vt:i4>
      </vt:variant>
      <vt:variant>
        <vt:i4>0</vt:i4>
      </vt:variant>
      <vt:variant>
        <vt:i4>5</vt:i4>
      </vt:variant>
      <vt:variant>
        <vt:lpwstr>http://eur-lex.europa.eu/legal-content/RO/AUTO/?uri=OJ:C:2012:143:TOC</vt:lpwstr>
      </vt:variant>
      <vt:variant>
        <vt:lpwstr/>
      </vt:variant>
      <vt:variant>
        <vt:i4>327688</vt:i4>
      </vt:variant>
      <vt:variant>
        <vt:i4>90</vt:i4>
      </vt:variant>
      <vt:variant>
        <vt:i4>0</vt:i4>
      </vt:variant>
      <vt:variant>
        <vt:i4>5</vt:i4>
      </vt:variant>
      <vt:variant>
        <vt:lpwstr>http://eur-lex.europa.eu/legal-content/RO/AUTO/?uri=OJ:C:2012:181:TOC</vt:lpwstr>
      </vt:variant>
      <vt:variant>
        <vt:lpwstr/>
      </vt:variant>
      <vt:variant>
        <vt:i4>655375</vt:i4>
      </vt:variant>
      <vt:variant>
        <vt:i4>87</vt:i4>
      </vt:variant>
      <vt:variant>
        <vt:i4>0</vt:i4>
      </vt:variant>
      <vt:variant>
        <vt:i4>5</vt:i4>
      </vt:variant>
      <vt:variant>
        <vt:lpwstr>http://eur-lex.europa.eu/legal-content/RO/AUTO/?uri=OJ:C:2013:076:TOC</vt:lpwstr>
      </vt:variant>
      <vt:variant>
        <vt:lpwstr/>
      </vt:variant>
      <vt:variant>
        <vt:i4>262152</vt:i4>
      </vt:variant>
      <vt:variant>
        <vt:i4>84</vt:i4>
      </vt:variant>
      <vt:variant>
        <vt:i4>0</vt:i4>
      </vt:variant>
      <vt:variant>
        <vt:i4>5</vt:i4>
      </vt:variant>
      <vt:variant>
        <vt:lpwstr>http://eur-lex.europa.eu/legal-content/RO/AUTO/?uri=OJ:C:2012:191:TOC</vt:lpwstr>
      </vt:variant>
      <vt:variant>
        <vt:lpwstr/>
      </vt:variant>
      <vt:variant>
        <vt:i4>262147</vt:i4>
      </vt:variant>
      <vt:variant>
        <vt:i4>81</vt:i4>
      </vt:variant>
      <vt:variant>
        <vt:i4>0</vt:i4>
      </vt:variant>
      <vt:variant>
        <vt:i4>5</vt:i4>
      </vt:variant>
      <vt:variant>
        <vt:lpwstr>http://eur-lex.europa.eu/legal-content/RO/AUTO/?uri=OJ:C:2012:299:TOC</vt:lpwstr>
      </vt:variant>
      <vt:variant>
        <vt:lpwstr/>
      </vt:variant>
      <vt:variant>
        <vt:i4>786440</vt:i4>
      </vt:variant>
      <vt:variant>
        <vt:i4>78</vt:i4>
      </vt:variant>
      <vt:variant>
        <vt:i4>0</vt:i4>
      </vt:variant>
      <vt:variant>
        <vt:i4>5</vt:i4>
      </vt:variant>
      <vt:variant>
        <vt:lpwstr>http://eur-lex.europa.eu/legal-content/RO/AUTO/?uri=OJ:C:2013:011:TOC</vt:lpwstr>
      </vt:variant>
      <vt:variant>
        <vt:lpwstr/>
      </vt:variant>
      <vt:variant>
        <vt:i4>720905</vt:i4>
      </vt:variant>
      <vt:variant>
        <vt:i4>75</vt:i4>
      </vt:variant>
      <vt:variant>
        <vt:i4>0</vt:i4>
      </vt:variant>
      <vt:variant>
        <vt:i4>5</vt:i4>
      </vt:variant>
      <vt:variant>
        <vt:lpwstr>http://eur-lex.europa.eu/legal-content/RO/AUTO/?uri=OJ:C:2013:161:TOC</vt:lpwstr>
      </vt:variant>
      <vt:variant>
        <vt:lpwstr/>
      </vt:variant>
      <vt:variant>
        <vt:i4>720905</vt:i4>
      </vt:variant>
      <vt:variant>
        <vt:i4>72</vt:i4>
      </vt:variant>
      <vt:variant>
        <vt:i4>0</vt:i4>
      </vt:variant>
      <vt:variant>
        <vt:i4>5</vt:i4>
      </vt:variant>
      <vt:variant>
        <vt:lpwstr>http://eur-lex.europa.eu/legal-content/RO/AUTO/?uri=OJ:C:2013:161:TOC</vt:lpwstr>
      </vt:variant>
      <vt:variant>
        <vt:lpwstr/>
      </vt:variant>
      <vt:variant>
        <vt:i4>8257616</vt:i4>
      </vt:variant>
      <vt:variant>
        <vt:i4>69</vt:i4>
      </vt:variant>
      <vt:variant>
        <vt:i4>0</vt:i4>
      </vt:variant>
      <vt:variant>
        <vt:i4>5</vt:i4>
      </vt:variant>
      <vt:variant>
        <vt:lpwstr>http://eur-lex.europa.eu/legal-content/RO/TXT/HTML/?uri=CELEX:52013AE0658&amp;from=RO</vt:lpwstr>
      </vt:variant>
      <vt:variant>
        <vt:lpwstr>ntc2-C_2013327RO.01005801-E0002</vt:lpwstr>
      </vt:variant>
      <vt:variant>
        <vt:i4>8192080</vt:i4>
      </vt:variant>
      <vt:variant>
        <vt:i4>66</vt:i4>
      </vt:variant>
      <vt:variant>
        <vt:i4>0</vt:i4>
      </vt:variant>
      <vt:variant>
        <vt:i4>5</vt:i4>
      </vt:variant>
      <vt:variant>
        <vt:lpwstr>http://eur-lex.europa.eu/legal-content/RO/TXT/HTML/?uri=CELEX:52013AE0658&amp;from=RO</vt:lpwstr>
      </vt:variant>
      <vt:variant>
        <vt:lpwstr>ntc1-C_2013327RO.01005801-E0001</vt:lpwstr>
      </vt:variant>
      <vt:variant>
        <vt:i4>2949136</vt:i4>
      </vt:variant>
      <vt:variant>
        <vt:i4>63</vt:i4>
      </vt:variant>
      <vt:variant>
        <vt:i4>0</vt:i4>
      </vt:variant>
      <vt:variant>
        <vt:i4>5</vt:i4>
      </vt:variant>
      <vt:variant>
        <vt:lpwstr>http://eur-lex.europa.eu/legal-content/RO/TXT/HTML/?uri=CELEX:52013AE0658&amp;from=RO</vt:lpwstr>
      </vt:variant>
      <vt:variant>
        <vt:lpwstr>ntr22-C_2013327RO.01005801-E0022</vt:lpwstr>
      </vt:variant>
      <vt:variant>
        <vt:i4>3014675</vt:i4>
      </vt:variant>
      <vt:variant>
        <vt:i4>60</vt:i4>
      </vt:variant>
      <vt:variant>
        <vt:i4>0</vt:i4>
      </vt:variant>
      <vt:variant>
        <vt:i4>5</vt:i4>
      </vt:variant>
      <vt:variant>
        <vt:lpwstr>http://eur-lex.europa.eu/legal-content/RO/TXT/HTML/?uri=CELEX:52013AE0658&amp;from=RO</vt:lpwstr>
      </vt:variant>
      <vt:variant>
        <vt:lpwstr>ntr21-C_2013327RO.01005801-E0021</vt:lpwstr>
      </vt:variant>
      <vt:variant>
        <vt:i4>3080210</vt:i4>
      </vt:variant>
      <vt:variant>
        <vt:i4>57</vt:i4>
      </vt:variant>
      <vt:variant>
        <vt:i4>0</vt:i4>
      </vt:variant>
      <vt:variant>
        <vt:i4>5</vt:i4>
      </vt:variant>
      <vt:variant>
        <vt:lpwstr>http://eur-lex.europa.eu/legal-content/RO/TXT/HTML/?uri=CELEX:52013AE0658&amp;from=RO</vt:lpwstr>
      </vt:variant>
      <vt:variant>
        <vt:lpwstr>ntr20-C_2013327RO.01005801-E0020</vt:lpwstr>
      </vt:variant>
      <vt:variant>
        <vt:i4>2424856</vt:i4>
      </vt:variant>
      <vt:variant>
        <vt:i4>54</vt:i4>
      </vt:variant>
      <vt:variant>
        <vt:i4>0</vt:i4>
      </vt:variant>
      <vt:variant>
        <vt:i4>5</vt:i4>
      </vt:variant>
      <vt:variant>
        <vt:lpwstr>http://eur-lex.europa.eu/legal-content/RO/TXT/HTML/?uri=CELEX:52013AE0658&amp;from=RO</vt:lpwstr>
      </vt:variant>
      <vt:variant>
        <vt:lpwstr>ntr19-C_2013327RO.01005801-E0019</vt:lpwstr>
      </vt:variant>
      <vt:variant>
        <vt:i4>2359321</vt:i4>
      </vt:variant>
      <vt:variant>
        <vt:i4>51</vt:i4>
      </vt:variant>
      <vt:variant>
        <vt:i4>0</vt:i4>
      </vt:variant>
      <vt:variant>
        <vt:i4>5</vt:i4>
      </vt:variant>
      <vt:variant>
        <vt:lpwstr>http://eur-lex.europa.eu/legal-content/RO/TXT/HTML/?uri=CELEX:52013AE0658&amp;from=RO</vt:lpwstr>
      </vt:variant>
      <vt:variant>
        <vt:lpwstr>ntr18-C_2013327RO.01005801-E0018</vt:lpwstr>
      </vt:variant>
      <vt:variant>
        <vt:i4>2818070</vt:i4>
      </vt:variant>
      <vt:variant>
        <vt:i4>48</vt:i4>
      </vt:variant>
      <vt:variant>
        <vt:i4>0</vt:i4>
      </vt:variant>
      <vt:variant>
        <vt:i4>5</vt:i4>
      </vt:variant>
      <vt:variant>
        <vt:lpwstr>http://eur-lex.europa.eu/legal-content/RO/TXT/HTML/?uri=CELEX:52013AE0658&amp;from=RO</vt:lpwstr>
      </vt:variant>
      <vt:variant>
        <vt:lpwstr>ntr17-C_2013327RO.01005801-E0017</vt:lpwstr>
      </vt:variant>
      <vt:variant>
        <vt:i4>2752535</vt:i4>
      </vt:variant>
      <vt:variant>
        <vt:i4>45</vt:i4>
      </vt:variant>
      <vt:variant>
        <vt:i4>0</vt:i4>
      </vt:variant>
      <vt:variant>
        <vt:i4>5</vt:i4>
      </vt:variant>
      <vt:variant>
        <vt:lpwstr>http://eur-lex.europa.eu/legal-content/RO/TXT/HTML/?uri=CELEX:52013AE0658&amp;from=RO</vt:lpwstr>
      </vt:variant>
      <vt:variant>
        <vt:lpwstr>ntr16-C_2013327RO.01005801-E0016</vt:lpwstr>
      </vt:variant>
      <vt:variant>
        <vt:i4>2686996</vt:i4>
      </vt:variant>
      <vt:variant>
        <vt:i4>42</vt:i4>
      </vt:variant>
      <vt:variant>
        <vt:i4>0</vt:i4>
      </vt:variant>
      <vt:variant>
        <vt:i4>5</vt:i4>
      </vt:variant>
      <vt:variant>
        <vt:lpwstr>http://eur-lex.europa.eu/legal-content/RO/TXT/HTML/?uri=CELEX:52013AE0658&amp;from=RO</vt:lpwstr>
      </vt:variant>
      <vt:variant>
        <vt:lpwstr>ntr15-C_2013327RO.01005801-E0015</vt:lpwstr>
      </vt:variant>
      <vt:variant>
        <vt:i4>2621461</vt:i4>
      </vt:variant>
      <vt:variant>
        <vt:i4>39</vt:i4>
      </vt:variant>
      <vt:variant>
        <vt:i4>0</vt:i4>
      </vt:variant>
      <vt:variant>
        <vt:i4>5</vt:i4>
      </vt:variant>
      <vt:variant>
        <vt:lpwstr>http://eur-lex.europa.eu/legal-content/RO/TXT/HTML/?uri=CELEX:52013AE0658&amp;from=RO</vt:lpwstr>
      </vt:variant>
      <vt:variant>
        <vt:lpwstr>ntr14-C_2013327RO.01005801-E0014</vt:lpwstr>
      </vt:variant>
      <vt:variant>
        <vt:i4>3080210</vt:i4>
      </vt:variant>
      <vt:variant>
        <vt:i4>36</vt:i4>
      </vt:variant>
      <vt:variant>
        <vt:i4>0</vt:i4>
      </vt:variant>
      <vt:variant>
        <vt:i4>5</vt:i4>
      </vt:variant>
      <vt:variant>
        <vt:lpwstr>http://eur-lex.europa.eu/legal-content/RO/TXT/HTML/?uri=CELEX:52013AE0658&amp;from=RO</vt:lpwstr>
      </vt:variant>
      <vt:variant>
        <vt:lpwstr>ntr13-C_2013327RO.01005801-E0013</vt:lpwstr>
      </vt:variant>
      <vt:variant>
        <vt:i4>3014675</vt:i4>
      </vt:variant>
      <vt:variant>
        <vt:i4>33</vt:i4>
      </vt:variant>
      <vt:variant>
        <vt:i4>0</vt:i4>
      </vt:variant>
      <vt:variant>
        <vt:i4>5</vt:i4>
      </vt:variant>
      <vt:variant>
        <vt:lpwstr>http://eur-lex.europa.eu/legal-content/RO/TXT/HTML/?uri=CELEX:52013AE0658&amp;from=RO</vt:lpwstr>
      </vt:variant>
      <vt:variant>
        <vt:lpwstr>ntr12-C_2013327RO.01005801-E0012</vt:lpwstr>
      </vt:variant>
      <vt:variant>
        <vt:i4>2949136</vt:i4>
      </vt:variant>
      <vt:variant>
        <vt:i4>30</vt:i4>
      </vt:variant>
      <vt:variant>
        <vt:i4>0</vt:i4>
      </vt:variant>
      <vt:variant>
        <vt:i4>5</vt:i4>
      </vt:variant>
      <vt:variant>
        <vt:lpwstr>http://eur-lex.europa.eu/legal-content/RO/TXT/HTML/?uri=CELEX:52013AE0658&amp;from=RO</vt:lpwstr>
      </vt:variant>
      <vt:variant>
        <vt:lpwstr>ntr11-C_2013327RO.01005801-E0011</vt:lpwstr>
      </vt:variant>
      <vt:variant>
        <vt:i4>2883601</vt:i4>
      </vt:variant>
      <vt:variant>
        <vt:i4>27</vt:i4>
      </vt:variant>
      <vt:variant>
        <vt:i4>0</vt:i4>
      </vt:variant>
      <vt:variant>
        <vt:i4>5</vt:i4>
      </vt:variant>
      <vt:variant>
        <vt:lpwstr>http://eur-lex.europa.eu/legal-content/RO/TXT/HTML/?uri=CELEX:52013AE0658&amp;from=RO</vt:lpwstr>
      </vt:variant>
      <vt:variant>
        <vt:lpwstr>ntr10-C_2013327RO.01005801-E0010</vt:lpwstr>
      </vt:variant>
      <vt:variant>
        <vt:i4>7667777</vt:i4>
      </vt:variant>
      <vt:variant>
        <vt:i4>24</vt:i4>
      </vt:variant>
      <vt:variant>
        <vt:i4>0</vt:i4>
      </vt:variant>
      <vt:variant>
        <vt:i4>5</vt:i4>
      </vt:variant>
      <vt:variant>
        <vt:lpwstr>http://eur-lex.europa.eu/legal-content/RO/TXT/HTML/?uri=CELEX:52013AE0658&amp;from=RO</vt:lpwstr>
      </vt:variant>
      <vt:variant>
        <vt:lpwstr>ntr9-C_2013327RO.01005801-E0009</vt:lpwstr>
      </vt:variant>
      <vt:variant>
        <vt:i4>7602241</vt:i4>
      </vt:variant>
      <vt:variant>
        <vt:i4>21</vt:i4>
      </vt:variant>
      <vt:variant>
        <vt:i4>0</vt:i4>
      </vt:variant>
      <vt:variant>
        <vt:i4>5</vt:i4>
      </vt:variant>
      <vt:variant>
        <vt:lpwstr>http://eur-lex.europa.eu/legal-content/RO/TXT/HTML/?uri=CELEX:52013AE0658&amp;from=RO</vt:lpwstr>
      </vt:variant>
      <vt:variant>
        <vt:lpwstr>ntr8-C_2013327RO.01005801-E0008</vt:lpwstr>
      </vt:variant>
      <vt:variant>
        <vt:i4>8060993</vt:i4>
      </vt:variant>
      <vt:variant>
        <vt:i4>18</vt:i4>
      </vt:variant>
      <vt:variant>
        <vt:i4>0</vt:i4>
      </vt:variant>
      <vt:variant>
        <vt:i4>5</vt:i4>
      </vt:variant>
      <vt:variant>
        <vt:lpwstr>http://eur-lex.europa.eu/legal-content/RO/TXT/HTML/?uri=CELEX:52013AE0658&amp;from=RO</vt:lpwstr>
      </vt:variant>
      <vt:variant>
        <vt:lpwstr>ntr7-C_2013327RO.01005801-E0007</vt:lpwstr>
      </vt:variant>
      <vt:variant>
        <vt:i4>7995457</vt:i4>
      </vt:variant>
      <vt:variant>
        <vt:i4>15</vt:i4>
      </vt:variant>
      <vt:variant>
        <vt:i4>0</vt:i4>
      </vt:variant>
      <vt:variant>
        <vt:i4>5</vt:i4>
      </vt:variant>
      <vt:variant>
        <vt:lpwstr>http://eur-lex.europa.eu/legal-content/RO/TXT/HTML/?uri=CELEX:52013AE0658&amp;from=RO</vt:lpwstr>
      </vt:variant>
      <vt:variant>
        <vt:lpwstr>ntr6-C_2013327RO.01005801-E0006</vt:lpwstr>
      </vt:variant>
      <vt:variant>
        <vt:i4>7929921</vt:i4>
      </vt:variant>
      <vt:variant>
        <vt:i4>12</vt:i4>
      </vt:variant>
      <vt:variant>
        <vt:i4>0</vt:i4>
      </vt:variant>
      <vt:variant>
        <vt:i4>5</vt:i4>
      </vt:variant>
      <vt:variant>
        <vt:lpwstr>http://eur-lex.europa.eu/legal-content/RO/TXT/HTML/?uri=CELEX:52013AE0658&amp;from=RO</vt:lpwstr>
      </vt:variant>
      <vt:variant>
        <vt:lpwstr>ntr5-C_2013327RO.01005801-E0005</vt:lpwstr>
      </vt:variant>
      <vt:variant>
        <vt:i4>7864385</vt:i4>
      </vt:variant>
      <vt:variant>
        <vt:i4>9</vt:i4>
      </vt:variant>
      <vt:variant>
        <vt:i4>0</vt:i4>
      </vt:variant>
      <vt:variant>
        <vt:i4>5</vt:i4>
      </vt:variant>
      <vt:variant>
        <vt:lpwstr>http://eur-lex.europa.eu/legal-content/RO/TXT/HTML/?uri=CELEX:52013AE0658&amp;from=RO</vt:lpwstr>
      </vt:variant>
      <vt:variant>
        <vt:lpwstr>ntr4-C_2013327RO.01005801-E0004</vt:lpwstr>
      </vt:variant>
      <vt:variant>
        <vt:i4>8323137</vt:i4>
      </vt:variant>
      <vt:variant>
        <vt:i4>6</vt:i4>
      </vt:variant>
      <vt:variant>
        <vt:i4>0</vt:i4>
      </vt:variant>
      <vt:variant>
        <vt:i4>5</vt:i4>
      </vt:variant>
      <vt:variant>
        <vt:lpwstr>http://eur-lex.europa.eu/legal-content/RO/TXT/HTML/?uri=CELEX:52013AE0658&amp;from=RO</vt:lpwstr>
      </vt:variant>
      <vt:variant>
        <vt:lpwstr>ntr3-C_2013327RO.01005801-E0003</vt:lpwstr>
      </vt:variant>
      <vt:variant>
        <vt:i4>8257601</vt:i4>
      </vt:variant>
      <vt:variant>
        <vt:i4>3</vt:i4>
      </vt:variant>
      <vt:variant>
        <vt:i4>0</vt:i4>
      </vt:variant>
      <vt:variant>
        <vt:i4>5</vt:i4>
      </vt:variant>
      <vt:variant>
        <vt:lpwstr>http://eur-lex.europa.eu/legal-content/RO/TXT/HTML/?uri=CELEX:52013AE0658&amp;from=RO</vt:lpwstr>
      </vt:variant>
      <vt:variant>
        <vt:lpwstr>ntr2-C_2013327RO.01005801-E0002</vt:lpwstr>
      </vt:variant>
      <vt:variant>
        <vt:i4>8192065</vt:i4>
      </vt:variant>
      <vt:variant>
        <vt:i4>0</vt:i4>
      </vt:variant>
      <vt:variant>
        <vt:i4>0</vt:i4>
      </vt:variant>
      <vt:variant>
        <vt:i4>5</vt:i4>
      </vt:variant>
      <vt:variant>
        <vt:lpwstr>http://eur-lex.europa.eu/legal-content/RO/TXT/HTML/?uri=CELEX:52013AE0658&amp;from=RO</vt:lpwstr>
      </vt:variant>
      <vt:variant>
        <vt:lpwstr>ntr1-C_2013327RO.01005801-E0001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Catalin zaharia</dc:creator>
  <cp:lastModifiedBy>DPP</cp:lastModifiedBy>
  <cp:revision>7</cp:revision>
  <cp:lastPrinted>2019-05-08T08:32:00Z</cp:lastPrinted>
  <dcterms:created xsi:type="dcterms:W3CDTF">2019-06-11T09:31:00Z</dcterms:created>
  <dcterms:modified xsi:type="dcterms:W3CDTF">2019-06-12T07:44:00Z</dcterms:modified>
</cp:coreProperties>
</file>