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1608" w:rsidRPr="00461C3A" w:rsidRDefault="00381608" w:rsidP="00381608">
      <w:pPr>
        <w:jc w:val="center"/>
        <w:rPr>
          <w:b/>
          <w:bCs/>
          <w:spacing w:val="20"/>
          <w:sz w:val="24"/>
          <w:szCs w:val="24"/>
          <w:u w:val="single"/>
        </w:rPr>
      </w:pPr>
      <w:bookmarkStart w:id="0" w:name="_GoBack"/>
      <w:bookmarkEnd w:id="0"/>
    </w:p>
    <w:p w:rsidR="004F1081" w:rsidRPr="00461C3A" w:rsidRDefault="00350CB2">
      <w:pPr>
        <w:jc w:val="center"/>
      </w:pPr>
      <w:r w:rsidRPr="00461C3A">
        <w:rPr>
          <w:b/>
          <w:bCs/>
          <w:spacing w:val="20"/>
          <w:sz w:val="24"/>
          <w:szCs w:val="24"/>
          <w:u w:val="single"/>
        </w:rPr>
        <w:t>NOTĂ DE FUNDAMENTARE</w:t>
      </w:r>
    </w:p>
    <w:p w:rsidR="004F1081" w:rsidRDefault="004F1081">
      <w:pPr>
        <w:jc w:val="center"/>
        <w:rPr>
          <w:b/>
          <w:bCs/>
          <w:spacing w:val="20"/>
          <w:sz w:val="24"/>
          <w:szCs w:val="24"/>
          <w:u w:val="single"/>
        </w:rPr>
      </w:pPr>
    </w:p>
    <w:p w:rsidR="008F6239" w:rsidRDefault="008F6239">
      <w:pPr>
        <w:jc w:val="center"/>
        <w:rPr>
          <w:b/>
          <w:bCs/>
          <w:spacing w:val="20"/>
          <w:sz w:val="24"/>
          <w:szCs w:val="24"/>
          <w:u w:val="single"/>
        </w:rPr>
      </w:pPr>
    </w:p>
    <w:p w:rsidR="008F6239" w:rsidRDefault="008F6239">
      <w:pPr>
        <w:jc w:val="center"/>
        <w:rPr>
          <w:b/>
          <w:bCs/>
          <w:spacing w:val="20"/>
          <w:sz w:val="24"/>
          <w:szCs w:val="24"/>
          <w:u w:val="single"/>
        </w:rPr>
      </w:pPr>
    </w:p>
    <w:p w:rsidR="008F6239" w:rsidRPr="00461C3A" w:rsidRDefault="008F6239">
      <w:pPr>
        <w:jc w:val="center"/>
        <w:rPr>
          <w:b/>
          <w:bCs/>
          <w:spacing w:val="20"/>
          <w:sz w:val="24"/>
          <w:szCs w:val="24"/>
          <w:u w:val="single"/>
        </w:rPr>
      </w:pPr>
    </w:p>
    <w:p w:rsidR="00381608" w:rsidRPr="00461C3A" w:rsidRDefault="00381608">
      <w:pPr>
        <w:jc w:val="center"/>
        <w:rPr>
          <w:b/>
          <w:bCs/>
          <w:spacing w:val="20"/>
          <w:sz w:val="24"/>
          <w:szCs w:val="24"/>
          <w:u w:val="single"/>
        </w:rPr>
      </w:pPr>
    </w:p>
    <w:p w:rsidR="00381608" w:rsidRPr="00461C3A" w:rsidRDefault="00381608">
      <w:pPr>
        <w:jc w:val="center"/>
        <w:rPr>
          <w:b/>
          <w:bCs/>
          <w:spacing w:val="20"/>
          <w:sz w:val="24"/>
          <w:szCs w:val="24"/>
          <w:u w:val="single"/>
        </w:rPr>
      </w:pPr>
    </w:p>
    <w:p w:rsidR="004F1081" w:rsidRPr="00461C3A" w:rsidRDefault="004F1081">
      <w:pPr>
        <w:jc w:val="center"/>
        <w:rPr>
          <w:sz w:val="24"/>
          <w:szCs w:val="24"/>
        </w:rPr>
      </w:pPr>
    </w:p>
    <w:tbl>
      <w:tblPr>
        <w:tblW w:w="13232" w:type="dxa"/>
        <w:tblInd w:w="-426" w:type="dxa"/>
        <w:tblLayout w:type="fixed"/>
        <w:tblCellMar>
          <w:left w:w="0" w:type="dxa"/>
          <w:right w:w="0" w:type="dxa"/>
        </w:tblCellMar>
        <w:tblLook w:val="0000" w:firstRow="0" w:lastRow="0" w:firstColumn="0" w:lastColumn="0" w:noHBand="0" w:noVBand="0"/>
      </w:tblPr>
      <w:tblGrid>
        <w:gridCol w:w="267"/>
        <w:gridCol w:w="2261"/>
        <w:gridCol w:w="733"/>
        <w:gridCol w:w="1162"/>
        <w:gridCol w:w="1391"/>
        <w:gridCol w:w="102"/>
        <w:gridCol w:w="926"/>
        <w:gridCol w:w="1132"/>
        <w:gridCol w:w="817"/>
        <w:gridCol w:w="1633"/>
        <w:gridCol w:w="2778"/>
        <w:gridCol w:w="30"/>
      </w:tblGrid>
      <w:tr w:rsidR="00461C3A" w:rsidRPr="00461C3A" w:rsidTr="00795BF0">
        <w:trPr>
          <w:trHeight w:val="606"/>
        </w:trPr>
        <w:tc>
          <w:tcPr>
            <w:tcW w:w="267" w:type="dxa"/>
            <w:shd w:val="clear" w:color="auto" w:fill="auto"/>
          </w:tcPr>
          <w:p w:rsidR="004F1081" w:rsidRPr="00461C3A" w:rsidRDefault="004F1081">
            <w:pPr>
              <w:pStyle w:val="TableHeading"/>
              <w:snapToGrid w:val="0"/>
              <w:rPr>
                <w:sz w:val="24"/>
                <w:szCs w:val="24"/>
              </w:rPr>
            </w:pPr>
          </w:p>
        </w:tc>
        <w:tc>
          <w:tcPr>
            <w:tcW w:w="10157" w:type="dxa"/>
            <w:gridSpan w:val="9"/>
            <w:tcBorders>
              <w:top w:val="single" w:sz="4" w:space="0" w:color="000001"/>
              <w:left w:val="single" w:sz="4" w:space="0" w:color="000001"/>
            </w:tcBorders>
            <w:shd w:val="clear" w:color="auto" w:fill="auto"/>
            <w:vAlign w:val="center"/>
          </w:tcPr>
          <w:p w:rsidR="004F1081" w:rsidRPr="00461C3A" w:rsidRDefault="004F1081">
            <w:pPr>
              <w:ind w:left="-267"/>
              <w:jc w:val="center"/>
              <w:rPr>
                <w:b/>
                <w:bCs/>
                <w:sz w:val="24"/>
                <w:szCs w:val="24"/>
              </w:rPr>
            </w:pPr>
          </w:p>
          <w:p w:rsidR="004F1081" w:rsidRPr="00461C3A" w:rsidRDefault="00350CB2">
            <w:pPr>
              <w:ind w:left="-267"/>
              <w:jc w:val="center"/>
            </w:pPr>
            <w:r w:rsidRPr="00461C3A">
              <w:rPr>
                <w:b/>
                <w:bCs/>
                <w:sz w:val="24"/>
                <w:szCs w:val="24"/>
              </w:rPr>
              <w:t>Secţiunea 1</w:t>
            </w:r>
          </w:p>
          <w:p w:rsidR="004F1081" w:rsidRPr="00461C3A" w:rsidRDefault="00350CB2">
            <w:pPr>
              <w:jc w:val="center"/>
            </w:pPr>
            <w:r w:rsidRPr="00461C3A">
              <w:rPr>
                <w:b/>
                <w:bCs/>
                <w:sz w:val="24"/>
                <w:szCs w:val="24"/>
              </w:rPr>
              <w:t>Titlul proiectului de act normativ</w:t>
            </w:r>
          </w:p>
          <w:p w:rsidR="004F1081" w:rsidRPr="00461C3A" w:rsidRDefault="004F1081">
            <w:pPr>
              <w:jc w:val="center"/>
              <w:rPr>
                <w:b/>
                <w:sz w:val="24"/>
                <w:szCs w:val="24"/>
              </w:rPr>
            </w:pPr>
          </w:p>
          <w:p w:rsidR="004F1081" w:rsidRPr="00461C3A" w:rsidRDefault="00350CB2">
            <w:pPr>
              <w:jc w:val="center"/>
            </w:pPr>
            <w:r w:rsidRPr="00461C3A">
              <w:rPr>
                <w:b/>
                <w:sz w:val="24"/>
                <w:szCs w:val="24"/>
              </w:rPr>
              <w:t>ORDONANȚĂ</w:t>
            </w:r>
          </w:p>
          <w:p w:rsidR="004F1081" w:rsidRPr="00461C3A" w:rsidRDefault="00350CB2">
            <w:pPr>
              <w:jc w:val="center"/>
            </w:pPr>
            <w:r w:rsidRPr="00461C3A">
              <w:rPr>
                <w:b/>
                <w:sz w:val="24"/>
                <w:szCs w:val="24"/>
                <w:lang w:eastAsia="ro-RO"/>
              </w:rPr>
              <w:t>privind reglementarea unor măsuri fiscal-bugetare</w:t>
            </w:r>
          </w:p>
          <w:p w:rsidR="004F1081" w:rsidRPr="00461C3A" w:rsidRDefault="004F1081">
            <w:pPr>
              <w:jc w:val="center"/>
              <w:rPr>
                <w:b/>
                <w:bCs/>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718"/>
        </w:trPr>
        <w:tc>
          <w:tcPr>
            <w:tcW w:w="267" w:type="dxa"/>
            <w:shd w:val="clear" w:color="auto" w:fill="auto"/>
          </w:tcPr>
          <w:p w:rsidR="004F1081" w:rsidRPr="00461C3A" w:rsidRDefault="004F1081">
            <w:pPr>
              <w:pStyle w:val="TableContents"/>
              <w:snapToGrid w:val="0"/>
              <w:rPr>
                <w:sz w:val="24"/>
                <w:szCs w:val="24"/>
              </w:rPr>
            </w:pPr>
          </w:p>
        </w:tc>
        <w:tc>
          <w:tcPr>
            <w:tcW w:w="10157" w:type="dxa"/>
            <w:gridSpan w:val="9"/>
            <w:tcBorders>
              <w:top w:val="single" w:sz="4" w:space="0" w:color="000001"/>
              <w:left w:val="single" w:sz="4" w:space="0" w:color="000001"/>
              <w:bottom w:val="single" w:sz="4" w:space="0" w:color="000001"/>
            </w:tcBorders>
            <w:shd w:val="clear" w:color="auto" w:fill="auto"/>
            <w:vAlign w:val="center"/>
          </w:tcPr>
          <w:p w:rsidR="00381608" w:rsidRPr="00461C3A" w:rsidRDefault="00381608">
            <w:pPr>
              <w:jc w:val="center"/>
              <w:rPr>
                <w:b/>
                <w:bCs/>
                <w:sz w:val="24"/>
                <w:szCs w:val="24"/>
              </w:rPr>
            </w:pPr>
          </w:p>
          <w:p w:rsidR="00381608" w:rsidRPr="00461C3A" w:rsidRDefault="00381608">
            <w:pPr>
              <w:jc w:val="center"/>
              <w:rPr>
                <w:b/>
                <w:bCs/>
                <w:sz w:val="24"/>
                <w:szCs w:val="24"/>
              </w:rPr>
            </w:pPr>
          </w:p>
          <w:p w:rsidR="004F1081" w:rsidRPr="00461C3A" w:rsidRDefault="00350CB2">
            <w:pPr>
              <w:jc w:val="center"/>
            </w:pPr>
            <w:r w:rsidRPr="00461C3A">
              <w:rPr>
                <w:b/>
                <w:bCs/>
                <w:sz w:val="24"/>
                <w:szCs w:val="24"/>
              </w:rPr>
              <w:t>Secţiunea a 2 - a</w:t>
            </w:r>
          </w:p>
          <w:p w:rsidR="004F1081" w:rsidRPr="00461C3A" w:rsidRDefault="00350CB2">
            <w:pPr>
              <w:jc w:val="center"/>
            </w:pPr>
            <w:r w:rsidRPr="00461C3A">
              <w:rPr>
                <w:b/>
                <w:bCs/>
                <w:sz w:val="24"/>
                <w:szCs w:val="24"/>
              </w:rPr>
              <w:t>Motivul emiterii actului normativ</w:t>
            </w:r>
          </w:p>
          <w:p w:rsidR="004F1081" w:rsidRPr="00461C3A" w:rsidRDefault="004F1081">
            <w:pPr>
              <w:jc w:val="center"/>
              <w:rPr>
                <w:b/>
                <w:bCs/>
                <w:sz w:val="24"/>
                <w:szCs w:val="24"/>
              </w:rPr>
            </w:pPr>
          </w:p>
        </w:tc>
        <w:tc>
          <w:tcPr>
            <w:tcW w:w="2778" w:type="dxa"/>
            <w:tcBorders>
              <w:left w:val="single" w:sz="4" w:space="0" w:color="000001"/>
            </w:tcBorders>
            <w:shd w:val="clear" w:color="auto" w:fill="auto"/>
          </w:tcPr>
          <w:p w:rsidR="004F1081" w:rsidRPr="00461C3A" w:rsidRDefault="004F1081">
            <w:pPr>
              <w:snapToGrid w:val="0"/>
              <w:rPr>
                <w:rFonts w:eastAsia="Calibri"/>
                <w:sz w:val="24"/>
                <w:szCs w:val="24"/>
                <w:lang w:eastAsia="en-US"/>
              </w:rPr>
            </w:pPr>
          </w:p>
        </w:tc>
        <w:tc>
          <w:tcPr>
            <w:tcW w:w="30" w:type="dxa"/>
            <w:shd w:val="clear" w:color="auto" w:fill="auto"/>
          </w:tcPr>
          <w:p w:rsidR="004F1081" w:rsidRPr="00461C3A" w:rsidRDefault="004F1081"/>
        </w:tc>
      </w:tr>
      <w:tr w:rsidR="00461C3A" w:rsidRPr="00461C3A" w:rsidTr="00795BF0">
        <w:trPr>
          <w:trHeight w:val="418"/>
        </w:trPr>
        <w:tc>
          <w:tcPr>
            <w:tcW w:w="267" w:type="dxa"/>
            <w:shd w:val="clear" w:color="auto" w:fill="auto"/>
          </w:tcPr>
          <w:p w:rsidR="004F1081" w:rsidRPr="00461C3A" w:rsidRDefault="004F1081">
            <w:pPr>
              <w:pStyle w:val="TableContents"/>
              <w:snapToGrid w:val="0"/>
              <w:rPr>
                <w:sz w:val="24"/>
                <w:szCs w:val="24"/>
              </w:rPr>
            </w:pPr>
          </w:p>
        </w:tc>
        <w:tc>
          <w:tcPr>
            <w:tcW w:w="2261" w:type="dxa"/>
            <w:tcBorders>
              <w:top w:val="single" w:sz="4" w:space="0" w:color="000001"/>
              <w:left w:val="single" w:sz="4" w:space="0" w:color="000001"/>
              <w:bottom w:val="single" w:sz="4" w:space="0" w:color="000001"/>
            </w:tcBorders>
            <w:shd w:val="clear" w:color="auto" w:fill="auto"/>
            <w:vAlign w:val="center"/>
          </w:tcPr>
          <w:p w:rsidR="004F1081" w:rsidRPr="00461C3A" w:rsidRDefault="00350CB2">
            <w:r w:rsidRPr="00461C3A">
              <w:rPr>
                <w:b/>
                <w:bCs/>
                <w:sz w:val="24"/>
                <w:szCs w:val="24"/>
              </w:rPr>
              <w:t>1. Descrierea situaţiei actuale</w:t>
            </w:r>
          </w:p>
        </w:tc>
        <w:tc>
          <w:tcPr>
            <w:tcW w:w="7896" w:type="dxa"/>
            <w:gridSpan w:val="8"/>
            <w:tcBorders>
              <w:top w:val="single" w:sz="4" w:space="0" w:color="000001"/>
              <w:left w:val="single" w:sz="4" w:space="0" w:color="000001"/>
              <w:bottom w:val="single" w:sz="4" w:space="0" w:color="000001"/>
            </w:tcBorders>
            <w:shd w:val="clear" w:color="auto" w:fill="auto"/>
            <w:vAlign w:val="center"/>
          </w:tcPr>
          <w:p w:rsidR="004F1081" w:rsidRPr="00461C3A" w:rsidRDefault="004F1081">
            <w:pPr>
              <w:ind w:left="142" w:right="142"/>
              <w:jc w:val="both"/>
              <w:rPr>
                <w:b/>
                <w:sz w:val="24"/>
                <w:szCs w:val="24"/>
              </w:rPr>
            </w:pPr>
          </w:p>
          <w:p w:rsidR="004F1081" w:rsidRPr="00461C3A" w:rsidRDefault="00350CB2">
            <w:pPr>
              <w:ind w:left="142" w:right="142" w:firstLine="567"/>
              <w:jc w:val="both"/>
            </w:pPr>
            <w:r w:rsidRPr="00461C3A">
              <w:rPr>
                <w:b/>
                <w:sz w:val="24"/>
                <w:szCs w:val="24"/>
              </w:rPr>
              <w:t>Legea nr. 227/2015 privind Codul fiscal, cu modificările și completările ulterioare</w:t>
            </w:r>
          </w:p>
          <w:p w:rsidR="004F1081" w:rsidRPr="00461C3A" w:rsidRDefault="004F1081">
            <w:pPr>
              <w:ind w:left="142" w:right="142" w:firstLine="567"/>
              <w:jc w:val="both"/>
              <w:rPr>
                <w:b/>
                <w:sz w:val="24"/>
                <w:szCs w:val="24"/>
              </w:rPr>
            </w:pPr>
          </w:p>
          <w:p w:rsidR="004F1081" w:rsidRPr="00461C3A" w:rsidRDefault="00350CB2">
            <w:pPr>
              <w:ind w:left="142" w:right="142" w:firstLine="567"/>
              <w:jc w:val="both"/>
            </w:pPr>
            <w:r w:rsidRPr="00461C3A">
              <w:rPr>
                <w:b/>
                <w:i/>
                <w:sz w:val="24"/>
                <w:szCs w:val="24"/>
              </w:rPr>
              <w:t xml:space="preserve">Titlul V - Contribuții sociale obligatorii </w:t>
            </w:r>
          </w:p>
          <w:p w:rsidR="004F1081" w:rsidRPr="00461C3A" w:rsidRDefault="00350CB2">
            <w:pPr>
              <w:ind w:left="142" w:right="142" w:firstLine="567"/>
              <w:jc w:val="both"/>
            </w:pPr>
            <w:r w:rsidRPr="00461C3A">
              <w:rPr>
                <w:rFonts w:eastAsia="SimSun"/>
                <w:kern w:val="1"/>
                <w:sz w:val="24"/>
                <w:szCs w:val="24"/>
                <w:lang w:eastAsia="en-US" w:bidi="hi-IN"/>
              </w:rPr>
              <w:t xml:space="preserve">Prevederile actuale </w:t>
            </w:r>
            <w:r w:rsidRPr="00461C3A">
              <w:rPr>
                <w:kern w:val="1"/>
                <w:sz w:val="24"/>
                <w:szCs w:val="24"/>
                <w:lang w:eastAsia="ro-RO"/>
              </w:rPr>
              <w:t xml:space="preserve">referitoare la veniturile din salarii șiasimilate salariilor stabilesc că nu se cuprind în baza de calcul al contribuțiilor sociale obligatorii, veniturile reprezentând </w:t>
            </w:r>
            <w:r w:rsidRPr="00461C3A">
              <w:rPr>
                <w:bCs/>
                <w:iCs/>
                <w:kern w:val="1"/>
                <w:sz w:val="24"/>
                <w:szCs w:val="24"/>
                <w:lang w:eastAsia="ro-RO" w:bidi="hi-IN"/>
              </w:rPr>
              <w:t xml:space="preserve">biletele de valoare sub forma </w:t>
            </w:r>
            <w:r w:rsidRPr="00461C3A">
              <w:rPr>
                <w:rFonts w:eastAsia="SimSun"/>
                <w:bCs/>
                <w:iCs/>
                <w:kern w:val="1"/>
                <w:sz w:val="24"/>
                <w:szCs w:val="24"/>
                <w:lang w:eastAsia="ro-RO" w:bidi="hi-IN"/>
              </w:rPr>
              <w:t xml:space="preserve">tichetelor cadou acordate </w:t>
            </w:r>
            <w:r w:rsidRPr="00461C3A">
              <w:rPr>
                <w:bCs/>
                <w:iCs/>
                <w:kern w:val="1"/>
                <w:sz w:val="24"/>
                <w:szCs w:val="24"/>
                <w:lang w:eastAsia="ro-RO" w:bidi="hi-IN"/>
              </w:rPr>
              <w:t xml:space="preserve">potrivit legii </w:t>
            </w:r>
            <w:r w:rsidRPr="00461C3A">
              <w:rPr>
                <w:rFonts w:eastAsia="SimSun"/>
                <w:bCs/>
                <w:iCs/>
                <w:kern w:val="1"/>
                <w:sz w:val="24"/>
                <w:szCs w:val="24"/>
                <w:lang w:eastAsia="ro-RO" w:bidi="hi-IN"/>
              </w:rPr>
              <w:t>în cazul persoanelor fizice care realizează venituri din salarii sau asimilate salariilor, în alte situații decât cele cu ocazia Paștelui, zilei de 1 iunie, Crăciunului și a sărbătorilor similare ale altor culte religioase, precum și cadourile, inclusiv tichetele cadou, oferite salariatelor cu ocazia zilei de 8 martie, în măsura în care valoarea acestora pentru fiecare persoană în parte, cu fiecare ocazie din cele de mai sus, nu depășește 150 lei.</w:t>
            </w:r>
          </w:p>
          <w:p w:rsidR="004F1081" w:rsidRPr="00461C3A" w:rsidRDefault="00350CB2">
            <w:pPr>
              <w:ind w:left="142" w:right="142" w:firstLine="567"/>
              <w:jc w:val="both"/>
            </w:pPr>
            <w:r w:rsidRPr="00461C3A">
              <w:rPr>
                <w:bCs/>
                <w:iCs/>
                <w:kern w:val="1"/>
                <w:sz w:val="24"/>
                <w:szCs w:val="24"/>
                <w:lang w:eastAsia="ro-RO" w:bidi="hi-IN"/>
              </w:rPr>
              <w:t>Conform p</w:t>
            </w:r>
            <w:r w:rsidRPr="00461C3A">
              <w:rPr>
                <w:bCs/>
                <w:iCs/>
                <w:sz w:val="24"/>
                <w:szCs w:val="24"/>
              </w:rPr>
              <w:t>revederilor actuale referitoare la facilitățile fiscale de care beneficiază persoanele fizice care realizează venituri din salarii și asimilate salariilor de la angajatori care desfășoară activități în sectorul construcțiilor, astfel cum au fost modificate și completate prin OUG nr. 43/2019pentru modificarea și completarea unor acte normative care privesc stabilirea unor măsuri în domeniul investițiilor, în cazul contribuțiilor sociale este prevăzută condiția ca veniturile să fie realizate în baza contractelor individuale de muncă, în timp ce în cazul impozitului pe venit, această condiție a fost eliminată.</w:t>
            </w:r>
          </w:p>
          <w:p w:rsidR="004F1081" w:rsidRPr="00461C3A" w:rsidRDefault="004F1081">
            <w:pPr>
              <w:ind w:left="142" w:right="142" w:firstLine="567"/>
              <w:jc w:val="both"/>
              <w:rPr>
                <w:b/>
                <w:kern w:val="1"/>
                <w:sz w:val="24"/>
                <w:szCs w:val="24"/>
                <w:lang w:eastAsia="en-US" w:bidi="hi-IN"/>
              </w:rPr>
            </w:pPr>
          </w:p>
          <w:p w:rsidR="004F1081" w:rsidRPr="00461C3A" w:rsidRDefault="00350CB2">
            <w:pPr>
              <w:ind w:left="142" w:right="142" w:firstLine="567"/>
              <w:jc w:val="both"/>
            </w:pPr>
            <w:r w:rsidRPr="00461C3A">
              <w:rPr>
                <w:b/>
                <w:i/>
                <w:sz w:val="24"/>
                <w:szCs w:val="24"/>
              </w:rPr>
              <w:t>Titlul VIII –</w:t>
            </w:r>
            <w:r w:rsidRPr="00461C3A">
              <w:rPr>
                <w:b/>
                <w:bCs/>
                <w:i/>
                <w:sz w:val="24"/>
                <w:szCs w:val="24"/>
                <w:lang w:eastAsia="ro-RO"/>
              </w:rPr>
              <w:t xml:space="preserve"> Accize și alte taxe speciale</w:t>
            </w:r>
          </w:p>
          <w:p w:rsidR="004F1081" w:rsidRPr="00461C3A" w:rsidRDefault="00350CB2">
            <w:pPr>
              <w:ind w:left="142" w:right="142" w:firstLine="567"/>
              <w:jc w:val="both"/>
            </w:pPr>
            <w:r w:rsidRPr="00461C3A">
              <w:rPr>
                <w:b/>
                <w:sz w:val="24"/>
                <w:szCs w:val="24"/>
              </w:rPr>
              <w:t>1</w:t>
            </w:r>
            <w:r w:rsidRPr="00461C3A">
              <w:rPr>
                <w:sz w:val="24"/>
                <w:szCs w:val="24"/>
              </w:rPr>
              <w:t>. Nivelul accizei totale pentru țigarete este prevăzut în anexa nr. 1 de la Titlul VIII din Codul fiscal, respectiv 483,74 lei/1.000 de țigarete.</w:t>
            </w:r>
          </w:p>
          <w:p w:rsidR="004F1081" w:rsidRPr="00461C3A" w:rsidRDefault="00350CB2">
            <w:pPr>
              <w:ind w:left="142" w:right="142" w:firstLine="567"/>
              <w:jc w:val="both"/>
            </w:pPr>
            <w:r w:rsidRPr="00461C3A">
              <w:rPr>
                <w:sz w:val="24"/>
                <w:szCs w:val="24"/>
              </w:rPr>
              <w:t xml:space="preserve">Prețul mediu ponderat de vânzare cu amănuntul (WAP) aferent anului 2018, calculat în conformitate cu prevederile art. 343 alin.(7) din Codul fiscal este de 16,799 lei/pachet. </w:t>
            </w:r>
          </w:p>
          <w:p w:rsidR="004F1081" w:rsidRPr="00461C3A" w:rsidRDefault="00350CB2">
            <w:pPr>
              <w:ind w:left="142" w:right="142" w:firstLine="567"/>
              <w:jc w:val="both"/>
            </w:pPr>
            <w:r w:rsidRPr="00461C3A">
              <w:rPr>
                <w:sz w:val="24"/>
                <w:szCs w:val="24"/>
              </w:rPr>
              <w:t>În acest moment, acciza globală pe țigarete reprezintă 57,59% din prețul mediu ponderat de vânzare cu amănuntul al țigaretelor eliberate pentru consum.</w:t>
            </w:r>
          </w:p>
          <w:p w:rsidR="004F1081" w:rsidRPr="00461C3A" w:rsidRDefault="00350CB2">
            <w:pPr>
              <w:ind w:left="142" w:right="142" w:firstLine="567"/>
              <w:jc w:val="both"/>
            </w:pPr>
            <w:r w:rsidRPr="00461C3A">
              <w:rPr>
                <w:sz w:val="24"/>
                <w:szCs w:val="24"/>
              </w:rPr>
              <w:lastRenderedPageBreak/>
              <w:t>Condițiile referitoare la nivelul minim al accizei totale aplicabil pentru țigarete, pe care toate statele membre trebuie să îl respecte, se regăsesc la art. 10 alin. (2) din Directiva 2011/64/UE a Consiliului privind structura și ratele accizelor aplicate tutunului prelucrat:</w:t>
            </w:r>
          </w:p>
          <w:p w:rsidR="004F1081" w:rsidRPr="00461C3A" w:rsidRDefault="00350CB2">
            <w:pPr>
              <w:ind w:left="142" w:right="142" w:firstLine="567"/>
              <w:jc w:val="both"/>
            </w:pPr>
            <w:r w:rsidRPr="00461C3A">
              <w:rPr>
                <w:sz w:val="24"/>
                <w:szCs w:val="24"/>
              </w:rPr>
              <w:t>„(2) Începând cu 1 ianuarie 2014, acciza globală pe țigarete reprezintă cel puțin 60 % din prețul mediu ponderat de vânzare cu amănuntul alțigaretelor eliberate pentru consum. Acciza respectivă nu poate fi mai mică de 90 euro pentru 1.000 de țigarete, indiferent de prețul mediu ponderat de vânzare cu amănuntul.</w:t>
            </w:r>
          </w:p>
          <w:p w:rsidR="004F1081" w:rsidRPr="00461C3A" w:rsidRDefault="00350CB2">
            <w:pPr>
              <w:ind w:left="142" w:right="142" w:firstLine="567"/>
              <w:jc w:val="both"/>
            </w:pPr>
            <w:r w:rsidRPr="00461C3A">
              <w:rPr>
                <w:sz w:val="24"/>
                <w:szCs w:val="24"/>
              </w:rPr>
              <w:t xml:space="preserve">Cu toate acestea, statelor membre care percep o acciză de cel puțin 115 euro pentru 1.000 de țigarete pe baza prețului mediu ponderat de vânzare cu amănuntul nu li se aplică cerința de 60 % prevăzută la primul paragraf. Bulgaria, Estonia, Grecia, Letonia, Lituania, Ungaria, Polonia și România beneficiază de o perioadă de tranziție până la 31 decembrie 2017 pentru a îndeplini cerințele prevăzute în primul și al doilea paragraf.” </w:t>
            </w:r>
          </w:p>
          <w:p w:rsidR="004F1081" w:rsidRPr="00461C3A" w:rsidRDefault="00350CB2">
            <w:pPr>
              <w:ind w:left="142" w:right="142" w:firstLine="567"/>
              <w:jc w:val="both"/>
            </w:pPr>
            <w:r w:rsidRPr="00461C3A">
              <w:rPr>
                <w:sz w:val="24"/>
                <w:szCs w:val="24"/>
              </w:rPr>
              <w:t xml:space="preserve">Potrivit art. 11 alin. (1) din Directiva 2011/64/UE a Consiliului privind structura și ratele accizelor aplicate tutunului prelucrat, „dacă într-un stat membru apare o modificare a prețului mediu ponderat de vânzare cu amănuntul al țigaretelor, acciza globală reducându-se sub nivelurile specificate la articolul 10 alineatul (1) prima teză și alineatul (2) prima teză, statul membru în cauză poate amâna ajustarea accizei respective până la data de 1 ianuarie a celui de al doilea an ulterior celui în care are loc modificarea de preț. „ </w:t>
            </w:r>
          </w:p>
          <w:p w:rsidR="004F1081" w:rsidRPr="00461C3A" w:rsidRDefault="00350CB2">
            <w:pPr>
              <w:ind w:left="142" w:right="142" w:firstLine="567"/>
              <w:jc w:val="both"/>
            </w:pPr>
            <w:r w:rsidRPr="00461C3A">
              <w:rPr>
                <w:sz w:val="24"/>
                <w:szCs w:val="24"/>
              </w:rPr>
              <w:t>În ceea ce privește acciza specifică pentru țigarete, precizăm că potrivit art. 343 alin. (5) din Codul fiscal, aceasta se determină pe baza prețului mediu ponderat de vânzare cu amănuntul, a procentului legal aferent accizei ad valorem și al accizei totale al cărei nivel este prevăzut în anexa nr. 1 de la Titlul VIII din Codul fiscal. Nivelul accizei specifice în perioada 1 aprilie 2019 – 31 martie 2020 inclusiv este de 366,147 lei/1.000 țigarete.</w:t>
            </w:r>
          </w:p>
          <w:p w:rsidR="004F1081" w:rsidRPr="00461C3A" w:rsidRDefault="00350CB2">
            <w:pPr>
              <w:ind w:left="142" w:right="142" w:firstLine="567"/>
              <w:jc w:val="both"/>
            </w:pPr>
            <w:r w:rsidRPr="00461C3A">
              <w:rPr>
                <w:bCs/>
                <w:iCs/>
                <w:sz w:val="24"/>
                <w:szCs w:val="24"/>
              </w:rPr>
              <w:t xml:space="preserve">Pentru anii 2020 – 2022, nivelul </w:t>
            </w:r>
            <w:r w:rsidRPr="00461C3A">
              <w:rPr>
                <w:bCs/>
                <w:sz w:val="24"/>
                <w:szCs w:val="24"/>
              </w:rPr>
              <w:t xml:space="preserve">accizei totale pentru țigarete este prevăzut în Anexa nr. 1 </w:t>
            </w:r>
            <w:r w:rsidRPr="00461C3A">
              <w:rPr>
                <w:rFonts w:eastAsia="Arial"/>
                <w:sz w:val="24"/>
                <w:szCs w:val="24"/>
                <w:lang w:eastAsia="en-US"/>
              </w:rPr>
              <w:t xml:space="preserve">de la Titlul VIII din </w:t>
            </w:r>
            <w:r w:rsidRPr="00461C3A">
              <w:rPr>
                <w:bCs/>
                <w:sz w:val="24"/>
                <w:szCs w:val="24"/>
              </w:rPr>
              <w:t>Codul fiscal.</w:t>
            </w:r>
          </w:p>
          <w:p w:rsidR="004F1081" w:rsidRPr="00461C3A" w:rsidRDefault="00350CB2">
            <w:pPr>
              <w:ind w:left="142" w:right="142" w:firstLine="567"/>
              <w:jc w:val="both"/>
            </w:pPr>
            <w:r w:rsidRPr="00461C3A">
              <w:rPr>
                <w:b/>
                <w:sz w:val="24"/>
                <w:szCs w:val="24"/>
              </w:rPr>
              <w:t>2</w:t>
            </w:r>
            <w:r w:rsidRPr="00461C3A">
              <w:rPr>
                <w:sz w:val="24"/>
                <w:szCs w:val="24"/>
              </w:rPr>
              <w:t>.Potrivit Codului fiscal accizele nearmonizate sunt taxe speciale percepute asupra următoarelor produse:</w:t>
            </w:r>
          </w:p>
          <w:p w:rsidR="004F1081" w:rsidRPr="00461C3A" w:rsidRDefault="00350CB2">
            <w:pPr>
              <w:ind w:left="142" w:right="142" w:firstLine="567"/>
              <w:jc w:val="both"/>
            </w:pPr>
            <w:r w:rsidRPr="00461C3A">
              <w:rPr>
                <w:sz w:val="24"/>
                <w:szCs w:val="24"/>
              </w:rPr>
              <w:t>a) produse din tutun încălzit care, prin încălzire, emit un aerosol ce poate fi inhalat, fără a avea loc combustia amestecului de tutun, cu încadrarea tarifară NC 2403 99 90;</w:t>
            </w:r>
          </w:p>
          <w:p w:rsidR="004F1081" w:rsidRPr="00461C3A" w:rsidRDefault="00350CB2">
            <w:pPr>
              <w:ind w:left="142" w:right="142" w:firstLine="567"/>
              <w:jc w:val="both"/>
            </w:pPr>
            <w:r w:rsidRPr="00461C3A">
              <w:rPr>
                <w:sz w:val="24"/>
                <w:szCs w:val="24"/>
              </w:rPr>
              <w:t>b) lichidele cu conținut de nicotină destinate inhalării cu ajutorul unui dispozitiv electronic de tip "Țigaretă electronică", cu încadrarea tarifară NC 3824 90 96.</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 xml:space="preserve">Potrivit art. V din Ordonanța de urgență a Guvernului nr. 43/2019 pentru modificarea şi completarea unor acte normative care privesc stabilirea unor măsuri în domeniul investiţiilor, dispozițiile care modifică și completează prevederile Codului fiscal referitoare la facilitățile fiscale din domeniul construcțiilor, intră în vigoare la 30 de zile de la data intrării în vigoare a ordonanţei de urgenţă, respectiv începând cu data de 21 iulie 2019. Având în vedere caracterul lunar al obligațiilor fiscale aferente veniturilor din salarii și asimilate salariilor, precum și al indicatorului lunar ”cifra de afaceri”, în funcție de care se aplică facilitățile fiscale, pentru evitarea aplicării neunitare a prevederilor fiscale, este necesară clarificarea lunii în care se realizează </w:t>
            </w:r>
            <w:r w:rsidRPr="00461C3A">
              <w:rPr>
                <w:sz w:val="24"/>
                <w:szCs w:val="24"/>
              </w:rPr>
              <w:lastRenderedPageBreak/>
              <w:t>veniturile pentru care se aplică noile prevederi.</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Potrivit art. 62 din Ordonanța de urgență a Guvernului nr. 57/2019 privind Codul administrativ,  aspectele specifice organizării şi funcţionării ministerului cu atribuţii în domeniul apărării naţionale şi ministerului cu atribuţii în domeniul ordinii publice sunt reglementate prin legi speciale, iar în privinţa celorlalte ministere, prin hotărâre a Guvernului. Prin actul de înfiinţare, respectiv de organizare şi funcţionare al ministerului se stabilesc funcţiile şi atribuţiile specifice, organigrama care cuprinde inclusiv numărul de funcții de secretari de stat și subsecretari de stat. În prezent la nivelul celor 22 de ministere și a Secretariatului General al Guvernului este aprobat un număr de 86 posturi de secretar de stat și 16 posturi de subsecretar de stat.</w:t>
            </w:r>
          </w:p>
          <w:p w:rsidR="004F1081" w:rsidRPr="00461C3A" w:rsidRDefault="00350CB2">
            <w:pPr>
              <w:ind w:left="142" w:right="142" w:firstLine="567"/>
              <w:jc w:val="both"/>
            </w:pPr>
            <w:r w:rsidRPr="00461C3A">
              <w:rPr>
                <w:sz w:val="24"/>
                <w:szCs w:val="24"/>
              </w:rPr>
              <w:t>Potrivit prevederilor art. 545 din Ordonanța de urgență a Guvernului nr. 57/2019, cabinetul demnitarului este un compartiment distinct, organizat în cadrul structurii aparatului de lucru al Guvernului, ministerelor, administraţiei publice centrale sau prefecturilor încadrat cu funcții specifice.</w:t>
            </w:r>
          </w:p>
          <w:p w:rsidR="004F1081" w:rsidRPr="00461C3A" w:rsidRDefault="00350CB2">
            <w:pPr>
              <w:ind w:left="142" w:right="142" w:firstLine="567"/>
              <w:jc w:val="both"/>
            </w:pPr>
            <w:r w:rsidRPr="00461C3A">
              <w:rPr>
                <w:sz w:val="24"/>
                <w:szCs w:val="24"/>
              </w:rPr>
              <w:t>Personalul din structura cabinetului este numit sau eliberat din funcţie numai la propunerea demnitarului în subordinea căruia funcţionează şi îşi desfăşoară activitatea în baza unui contract individual de muncă pe durată determinată, încheiat în condiţiile legii, pe durata mandatului demnitarului.</w:t>
            </w:r>
          </w:p>
          <w:p w:rsidR="004F1081" w:rsidRPr="00461C3A" w:rsidRDefault="00350CB2">
            <w:pPr>
              <w:ind w:left="142" w:right="142" w:firstLine="567"/>
              <w:jc w:val="both"/>
            </w:pPr>
            <w:r w:rsidRPr="00461C3A">
              <w:rPr>
                <w:sz w:val="24"/>
                <w:szCs w:val="24"/>
              </w:rPr>
              <w:t>Pentru funcțiile de demnitate publică de secretar de stat legislația în vigoare stabilește cabinetul demnitarului la 4 persoane iar pentru funcțiile de subsecretar de stat cabinetul demnitarului este stabilit la 2 persoane.</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Prin Legea nr. 161/2003 privind unele măsuri pentru asigurarea transparenței în exercitarea demnităților publice, a funcțiilor publice și în mediul de afaceri, prevenirea și sancționarea corupției, s-a reglementat ca numărul total al funcţiilor publice corespunzătoare, în mod cumulat, categoriei înalţilor funcţionari publici şi categoriei funcţionarilor publici de conducere din cadrul fiecărei autorităţi sau instituţii publice să fie de maximum 12% din numărul total al funcţiilor publice.</w:t>
            </w:r>
          </w:p>
          <w:p w:rsidR="004F1081" w:rsidRPr="00461C3A" w:rsidRDefault="00350CB2">
            <w:pPr>
              <w:ind w:left="142" w:right="142" w:firstLine="567"/>
              <w:jc w:val="both"/>
            </w:pPr>
            <w:r w:rsidRPr="00461C3A">
              <w:rPr>
                <w:sz w:val="24"/>
                <w:szCs w:val="24"/>
              </w:rPr>
              <w:t>În prezent prevederi similare sunt cuprinse la art. 391 din Ordonanța de urgență a Guvernului nr. 57/2019 privind Codul administrativ.</w:t>
            </w:r>
          </w:p>
          <w:p w:rsidR="004F1081" w:rsidRPr="00461C3A" w:rsidRDefault="00350CB2">
            <w:pPr>
              <w:ind w:left="142" w:right="142" w:firstLine="567"/>
              <w:jc w:val="both"/>
            </w:pPr>
            <w:r w:rsidRPr="00461C3A">
              <w:rPr>
                <w:sz w:val="24"/>
                <w:szCs w:val="24"/>
              </w:rPr>
              <w:t>De asemenea, potrivit prevederilor aceluiași articol, structura organizatorică a autorităţilor şi instituţiilor publice trebuie să respecte următoarele cerinţe:</w:t>
            </w:r>
          </w:p>
          <w:p w:rsidR="004F1081" w:rsidRPr="00461C3A" w:rsidRDefault="00350CB2">
            <w:pPr>
              <w:ind w:left="142" w:right="142" w:firstLine="567"/>
              <w:jc w:val="both"/>
            </w:pPr>
            <w:r w:rsidRPr="00461C3A">
              <w:rPr>
                <w:sz w:val="24"/>
                <w:szCs w:val="24"/>
              </w:rPr>
              <w:t>a) pentru constituirea unui birou este necesar un număr de minimum 5 posturi de execuţie;</w:t>
            </w:r>
          </w:p>
          <w:p w:rsidR="004F1081" w:rsidRPr="00461C3A" w:rsidRDefault="00350CB2">
            <w:pPr>
              <w:ind w:left="142" w:right="142" w:firstLine="567"/>
              <w:jc w:val="both"/>
            </w:pPr>
            <w:r w:rsidRPr="00461C3A">
              <w:rPr>
                <w:sz w:val="24"/>
                <w:szCs w:val="24"/>
              </w:rPr>
              <w:t>b) pentru constituirea unui serviciu este necesar un număr de minimum 7 posturi de execuţie;</w:t>
            </w:r>
          </w:p>
          <w:p w:rsidR="004F1081" w:rsidRPr="00461C3A" w:rsidRDefault="00350CB2">
            <w:pPr>
              <w:ind w:left="142" w:right="142" w:firstLine="567"/>
              <w:jc w:val="both"/>
            </w:pPr>
            <w:r w:rsidRPr="00461C3A">
              <w:rPr>
                <w:sz w:val="24"/>
                <w:szCs w:val="24"/>
              </w:rPr>
              <w:t>c) pentru constituirea unei direcţii este necesar un număr de minimum 15 posturi de execuţie;</w:t>
            </w:r>
          </w:p>
          <w:p w:rsidR="004F1081" w:rsidRPr="00461C3A" w:rsidRDefault="00350CB2">
            <w:pPr>
              <w:ind w:left="142" w:right="142" w:firstLine="567"/>
              <w:jc w:val="both"/>
            </w:pPr>
            <w:r w:rsidRPr="00461C3A">
              <w:rPr>
                <w:sz w:val="24"/>
                <w:szCs w:val="24"/>
              </w:rPr>
              <w:t>d) pentru constituirea unei direcţii generale este necesar un număr de minimum 25 de posturi de execuţie.</w:t>
            </w:r>
          </w:p>
          <w:p w:rsidR="004F1081" w:rsidRPr="00461C3A" w:rsidRDefault="00350CB2">
            <w:pPr>
              <w:ind w:left="142" w:right="142" w:firstLine="567"/>
              <w:jc w:val="both"/>
            </w:pPr>
            <w:r w:rsidRPr="00461C3A">
              <w:rPr>
                <w:sz w:val="24"/>
                <w:szCs w:val="24"/>
              </w:rPr>
              <w:t xml:space="preserve">Această măsură a avut drept scop standardizarea structurilor din cadrul administrației publice, reducerea cheltuielilor publice,  precum și eliminarea cazurilor în care un funcționar public de conducere coordonează în fapt un număr foarte mic de funcționari publici de execuție. </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 xml:space="preserve">În urma misiunii de audit financiar derulată la Ministerul Educației  Naționale asupra Contului anual de execuție a bugetului de stat pe anul 2018 încheiat de Curtea de Conturi, echipa de audit a făcut următoarea recomandare </w:t>
            </w:r>
            <w:r w:rsidRPr="00461C3A">
              <w:rPr>
                <w:sz w:val="24"/>
                <w:szCs w:val="24"/>
              </w:rPr>
              <w:lastRenderedPageBreak/>
              <w:t xml:space="preserve">: </w:t>
            </w:r>
          </w:p>
          <w:p w:rsidR="004F1081" w:rsidRPr="00461C3A" w:rsidRDefault="00350CB2">
            <w:pPr>
              <w:ind w:left="142" w:right="142" w:firstLine="567"/>
              <w:jc w:val="both"/>
            </w:pPr>
            <w:r w:rsidRPr="00461C3A">
              <w:rPr>
                <w:sz w:val="24"/>
                <w:szCs w:val="24"/>
              </w:rPr>
              <w:t>"Conducerea MEN va întreprinde demersurile necesare pentru armonizarea prevederilor Legii nr. 153/2017 referitor la predarea simultană cu prevederile Legii nr. 1, cu modificările și completările ulterioare în sensul eliminării obligației de acordare a acestei majorări personalului didactic de predare din învățământul preșcolar."</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 xml:space="preserve">Potrivit Ordonanței de urgență a Guvernului nr.28/2013 pentru aprobarea Programului naţional de dezvoltare locală, cu modificările și completările ulterioare,  programarea, coordonarea şi monitorizarea utilizării fondurilor alocate de la bugetul de stat în implementarea proiectelor de investiţii din program se fac de către Ministerul Dezvoltării Regionale şi Administraţiei Publice. </w:t>
            </w:r>
          </w:p>
          <w:p w:rsidR="004F1081" w:rsidRPr="00461C3A" w:rsidRDefault="00350CB2">
            <w:pPr>
              <w:ind w:left="142" w:right="142" w:firstLine="567"/>
              <w:jc w:val="both"/>
            </w:pPr>
            <w:r w:rsidRPr="00461C3A">
              <w:rPr>
                <w:sz w:val="24"/>
                <w:szCs w:val="24"/>
              </w:rPr>
              <w:t>Ministerul Dezvoltării Regionale și Administrației Publice este ordonatorul  de credite prin bugetul căruia se finanțează Programul naţional de dezvoltare locală.</w:t>
            </w:r>
          </w:p>
          <w:p w:rsidR="004F1081" w:rsidRPr="00461C3A" w:rsidRDefault="00350CB2">
            <w:pPr>
              <w:ind w:left="142" w:right="142" w:firstLine="567"/>
              <w:jc w:val="both"/>
            </w:pPr>
            <w:r w:rsidRPr="00461C3A">
              <w:rPr>
                <w:sz w:val="24"/>
                <w:szCs w:val="24"/>
              </w:rPr>
              <w:t>Potrivit Legii nr.500/2002 privind finanțele publice, cu modificările și completările ulterioare, ordonatorul de credite are obligația de a fundamenta, justifica şi utiliza, în condiţii de legalitate, regularitate, economicitate, eficienţă şi eficacitate, creditele bugetare repartizate din bugetele lor instituţiilor subordonate şi altor beneficiari ai acestor fonduri. Pentru a asigura corelarea cu prevederile Legii nr. 500/2002 este necesară modificarea prevederilor art.13 alin.(1) din  Ordonanța de urgență a Guvernului nr.28/2013.</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În perioada decembrie 2015 – mai 2019, numărul de posturi ocupate din sectorul bugetar s-a majorat cu 50.242 de posturi, respectiv de la 1.186.314 posturi la 1.236.556 posturi. Din acestea, cele mai importante creșteri s-au înregistrat la nivelul instituțiilor finanțate integral din bugetele locale (36.588 posturi) și spitale (20.826 posturi), în timp ce la nivelul unităților din sistemul de învățământ a fost înregistrată o scădere de 8.466 posturi, la nivelul Ministerul Apărării Naționale s-a înregistrat o diminuare de 1.633 posturi iar la nivelul Ministerului Afacerilor Interne și instituțiilor din subordine s-a înregistrat o diminuare de 4.363 posturi.</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 xml:space="preserve">La nivelul Ministerului Finanțelor Publice a fost realizată o analiză a execuției cheltuielilor bugetare ale ordonatorilor principali de credite, ocazie cu care, s-a constatat că din bugetul unor autorități și instituții publice s-au efectuat plăți pentru servicii de telefonie mobilă în favoarea personalului care își desfășoară activitatea în cadrul acestora. </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 xml:space="preserve">Programul de guvernare 2018-2020 aprobat prin Hotărârea Parlamentului nr. 1/2018 pentru acordarea încrederii Guvernului prevede implementarea unei strategii economice naţionale de dezvoltare pe termen mediu şi lung, inclusiv prin crearea unor noi instrumente de investiţii, care să conducă la dezvoltarea economiei româneşti și să ofere o alternativă de finanţare a proiectelor de investiţii în domenii precum infrastructură, energie, agricultură, sănătate, dar şi în alte domenii. </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 xml:space="preserve">Prin Ordonanța de urgență a Guvernului nr. 100/2018 pentru reglementarea unor măsuri privind cadrul general aplicabil fondurilor suverane de dezvoltare și investiții se reglementează cadrul general privind condițiile pe care societățile reglementate de Legea societăților nr. 31/1990, republicată cu </w:t>
            </w:r>
            <w:r w:rsidRPr="00461C3A">
              <w:rPr>
                <w:sz w:val="24"/>
                <w:szCs w:val="24"/>
              </w:rPr>
              <w:lastRenderedPageBreak/>
              <w:t xml:space="preserve">modificările și completările ulterioare, trebuie să le îndeplinească pentru a fi considerate fonduri suverane de dezvoltare și investiții, </w:t>
            </w:r>
          </w:p>
          <w:p w:rsidR="004F1081" w:rsidRPr="00461C3A" w:rsidRDefault="00350CB2">
            <w:pPr>
              <w:ind w:left="142" w:right="142" w:firstLine="567"/>
              <w:jc w:val="both"/>
            </w:pPr>
            <w:r w:rsidRPr="00461C3A">
              <w:rPr>
                <w:sz w:val="24"/>
                <w:szCs w:val="24"/>
              </w:rPr>
              <w:t>Potrivit prevederilor Ordonanței de urgență a Guvernului nr. 100/2018 contribuția la capitalul social inițial al fodurilor suverane de dezvoltare și investiții se face prin aport în numerar și natură, inclusiv sub formă de acțiuni deținute de stat la societăți, inclusiv strategice.</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Totodată, Ordonanța de urgență a Guvernului nr. 100/2018, prevede că prin hotărârea de Guvern privind organizarea și funcționarea unui fond se stabilesc obiectul de activitate şi sediul social, autoritatea publică centrală care exercită, în numele statului român, drepturile şi obligațiile izvorâte din calitatea de acționar unic al fiecărui Fond, valoarea inițială a capitalului social și numărul acțiunilor, pachetele de acțiuni care se transferă cu titlu de aport în natură de statul român la capitalul social, metodele de evaluare a aportului în natură, durata de funcționare determinată sau nedeterminată, precum și alte aspecte prevăzute de lege şi care vizează organizarea şi funcționarea fiecărui Fond.</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La data de 29 mai 2019 Eximbank S.A. si Banca de Dezvoltare a Poloniei BGK au  semnat la Luxemburg Statutul Fondul de Investiții al Inițiativei Celor Trei Mări S.A, urmare aprobării de către Guvernul României în data de 23 mai 2019 a Memorandumului cu tema: Aprobarea sumei pe care România o investește pentru participare la constituirea capitalului social al Fondului de Investiții al Inițiativei celor Trei Mări la data înființării acestuia.</w:t>
            </w:r>
          </w:p>
          <w:p w:rsidR="004F1081" w:rsidRPr="00461C3A" w:rsidRDefault="00350CB2">
            <w:pPr>
              <w:ind w:left="142" w:right="142" w:firstLine="567"/>
              <w:jc w:val="both"/>
            </w:pPr>
            <w:r w:rsidRPr="00461C3A">
              <w:rPr>
                <w:sz w:val="24"/>
                <w:szCs w:val="24"/>
              </w:rPr>
              <w:t>Prin prevederile OUG nr. 82/2018 pentru completarea Legii 96/2000 privind organizarea și funcționarea Băncii de Export-Import a României EximBank S.A. s-a creat cadrul legal ca să permită Băncii de Export-Import a României EximBank S.A să participe la  Fondul de Investiții al Inițiativei celor Trei Mări, sumele pentru alimentarea acestui fond fiind asigurate de la bugetul de stat prin Bugetul Ministerului Finanțelor Publice- Acțiuni generale.</w:t>
            </w:r>
          </w:p>
          <w:p w:rsidR="004F1081" w:rsidRPr="00461C3A" w:rsidRDefault="00350CB2">
            <w:pPr>
              <w:ind w:left="142" w:right="142" w:firstLine="567"/>
              <w:jc w:val="both"/>
            </w:pPr>
            <w:r w:rsidRPr="00461C3A">
              <w:rPr>
                <w:sz w:val="24"/>
                <w:szCs w:val="24"/>
              </w:rPr>
              <w:t>În acest sens, în perioada următoare, administratorul extern al Fondului de Investiții al Inițiativei celor Trei Mări va transmite notificări de plată a capitalului până la concurența sumelor angajate de fiecare acționar, în baza acestor notificări  EximBank și BGK având obligația virării sumelor în termen de 30 zile.</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 xml:space="preserve">Prin Ordonanța de urgență a Guvernului nr. 11/2016 privind stabilirea unor măsuri de reorganizare la nivelul administrației publice centrale cu modificările și completările ulterioare, Ministerul Finanțelor Publice a devenit Autoritate Publică în contractul de parteneriat public-privat pentru reconversia funcțională a amplasamentului “Centrul Dâmbovița” și de finalizare a construcțiilor existente. </w:t>
            </w:r>
          </w:p>
          <w:p w:rsidR="004F1081" w:rsidRPr="00461C3A" w:rsidRDefault="00350CB2">
            <w:pPr>
              <w:ind w:left="142" w:right="142" w:firstLine="567"/>
              <w:jc w:val="both"/>
            </w:pPr>
            <w:r w:rsidRPr="00461C3A">
              <w:rPr>
                <w:sz w:val="24"/>
                <w:szCs w:val="24"/>
              </w:rPr>
              <w:t>Direcția de audit public intern a efectuat o misiune de audit asupra documentelor care au fost preluate prin protocolul de predare-primire încheiat între Ministerul Finanțelor Publice și Departamentul pentru Investiţii Străine şi Parteneriat Public-Privat, ca urmare a intrării în vigoare a dispozițiilor Ordonanței de urgență a Guvernului nr. 11/2016.</w:t>
            </w:r>
          </w:p>
          <w:p w:rsidR="004F1081" w:rsidRPr="00461C3A" w:rsidRDefault="00350CB2">
            <w:pPr>
              <w:ind w:left="142" w:right="142" w:firstLine="567"/>
              <w:jc w:val="both"/>
            </w:pPr>
            <w:r w:rsidRPr="00461C3A">
              <w:rPr>
                <w:sz w:val="24"/>
                <w:szCs w:val="24"/>
              </w:rPr>
              <w:t xml:space="preserve">Auditarea acestor documente a avut în vedere identificarea responsabilităţilor şi a riscurilor la care se supune Ministerul Finanțelor Publice în gestionarea problematicii legate de derularea contractului de parteneriat public-privat pentru reconversia funcţională a amplasamentului "Centrul Dâmboviţa", după preluarea documentelor prin proces-verbal, </w:t>
            </w:r>
            <w:r w:rsidRPr="00461C3A">
              <w:rPr>
                <w:sz w:val="24"/>
                <w:szCs w:val="24"/>
              </w:rPr>
              <w:lastRenderedPageBreak/>
              <w:t xml:space="preserve">raportat la competențele și atribuțiile specifice structurilor din cadrul Ministerul Finanțelor Publice, precum şi a resurselor existente. </w:t>
            </w:r>
          </w:p>
          <w:p w:rsidR="004F1081" w:rsidRPr="00461C3A" w:rsidRDefault="00350CB2">
            <w:pPr>
              <w:ind w:left="142" w:right="142" w:firstLine="567"/>
              <w:jc w:val="both"/>
            </w:pPr>
            <w:r w:rsidRPr="00461C3A">
              <w:rPr>
                <w:sz w:val="24"/>
                <w:szCs w:val="24"/>
              </w:rPr>
              <w:t xml:space="preserve">În baza aspectelor identificate (și menționate și în cadrul raportului misiunii), cum ar fi: </w:t>
            </w:r>
          </w:p>
          <w:p w:rsidR="004F1081" w:rsidRPr="00461C3A" w:rsidRDefault="00350CB2">
            <w:pPr>
              <w:ind w:left="142" w:right="142" w:firstLine="567"/>
              <w:jc w:val="both"/>
            </w:pPr>
            <w:r w:rsidRPr="00461C3A">
              <w:rPr>
                <w:sz w:val="24"/>
                <w:szCs w:val="24"/>
              </w:rPr>
              <w:t>-</w:t>
            </w:r>
            <w:r w:rsidRPr="00461C3A">
              <w:rPr>
                <w:sz w:val="24"/>
                <w:szCs w:val="24"/>
              </w:rPr>
              <w:tab/>
              <w:t>Ministerul Finanțelor Publice nu a fost parte implicată în negocierea, semnarea sau implementarea contractului de parteneriat public-privat până la momentul transferului;</w:t>
            </w:r>
          </w:p>
          <w:p w:rsidR="004F1081" w:rsidRPr="00461C3A" w:rsidRDefault="00350CB2">
            <w:pPr>
              <w:ind w:left="142" w:right="142" w:firstLine="567"/>
              <w:jc w:val="both"/>
            </w:pPr>
            <w:r w:rsidRPr="00461C3A">
              <w:rPr>
                <w:sz w:val="24"/>
                <w:szCs w:val="24"/>
              </w:rPr>
              <w:t>-</w:t>
            </w:r>
            <w:r w:rsidRPr="00461C3A">
              <w:rPr>
                <w:sz w:val="24"/>
                <w:szCs w:val="24"/>
              </w:rPr>
              <w:tab/>
              <w:t>Ministerul Finanțelor Publice nu deţine documentele în original privind contractul şi actul adiţional negociate şi semnate, precum şi anexele acestora sau documente asumate în cadrul negocierilor;</w:t>
            </w:r>
          </w:p>
          <w:p w:rsidR="004F1081" w:rsidRPr="00461C3A" w:rsidRDefault="00350CB2">
            <w:pPr>
              <w:ind w:left="142" w:right="142" w:firstLine="567"/>
              <w:jc w:val="both"/>
            </w:pPr>
            <w:r w:rsidRPr="00461C3A">
              <w:rPr>
                <w:sz w:val="24"/>
                <w:szCs w:val="24"/>
              </w:rPr>
              <w:t>-</w:t>
            </w:r>
            <w:r w:rsidRPr="00461C3A">
              <w:rPr>
                <w:sz w:val="24"/>
                <w:szCs w:val="24"/>
              </w:rPr>
              <w:tab/>
              <w:t>Ministerul Finanțelor Publice nu deţine eventuale documente conexe din negocierea şi derularea contractului (ex: studiile de fezabilitate care au fundamentat contractul la momentul semnării, diverse rapoarte financiare, tehnice, corespondenţă, toate acestea fiind în mod normal în arhiva Autorităţilor Publice care au gestionat anterior contractul, respectiv: Ministerul Lucrărilor Publice, Transporturilor şi Locuinţei (2003 -2005), Ministerul Transporturilor, Construcţiilor şi Turismului (2006), Ministerul Dezvoltării Regionale şi Administraţiei Publice (2011 – 2014);</w:t>
            </w:r>
          </w:p>
          <w:p w:rsidR="004F1081" w:rsidRPr="00461C3A" w:rsidRDefault="00350CB2">
            <w:pPr>
              <w:ind w:left="142" w:right="142" w:firstLine="567"/>
              <w:jc w:val="both"/>
            </w:pPr>
            <w:r w:rsidRPr="00461C3A">
              <w:rPr>
                <w:sz w:val="24"/>
                <w:szCs w:val="24"/>
              </w:rPr>
              <w:t>-      Contractul, în forma negociată, așa cum a fost transmis Ministerului Finanțelor Publice, nu conţine toate atributele unui contract de parteneriat public –privat, conform bunelor practici în domeniu, în mod special prin lipsa identificării documentelor de fundamentare (modele financiare, matrici de riscuri cuantificabile, respectarea principiului de echitate în repartizarea membrilor în Consiliul de Administraţie al Companiei de Proiect, etc);</w:t>
            </w:r>
          </w:p>
          <w:p w:rsidR="004F1081" w:rsidRPr="00461C3A" w:rsidRDefault="00350CB2">
            <w:pPr>
              <w:ind w:left="142" w:right="142" w:firstLine="567"/>
              <w:jc w:val="both"/>
            </w:pPr>
            <w:r w:rsidRPr="00461C3A">
              <w:rPr>
                <w:sz w:val="24"/>
                <w:szCs w:val="24"/>
              </w:rPr>
              <w:t>-</w:t>
            </w:r>
            <w:r w:rsidRPr="00461C3A">
              <w:rPr>
                <w:sz w:val="24"/>
                <w:szCs w:val="24"/>
              </w:rPr>
              <w:tab/>
              <w:t>Ministerul Finanțelor Publice nu deţine/nu are alocate la acest moment resurse financiare, tehnice, juridice corespunzătoare pentru gestionarea acestui contract, în special având în vedere faptul că deciziile/acţiunile derulate în perioada 2003 – 2016 au fost asumate de alte entităţi care au deţinut calitatea de autoritate publică în contractul de parteneriat public-privat şi asupra cărora Ministerul Finanțelor Publice nu poate interveni sau pentru care nu poate deveni responsabil din punctul de vedere al implicaţiilor actuale ale acestora.</w:t>
            </w:r>
          </w:p>
          <w:p w:rsidR="004F1081" w:rsidRPr="00461C3A" w:rsidRDefault="00350CB2">
            <w:pPr>
              <w:ind w:left="142" w:right="142" w:firstLine="567"/>
              <w:jc w:val="both"/>
            </w:pPr>
            <w:r w:rsidRPr="00461C3A">
              <w:rPr>
                <w:sz w:val="24"/>
                <w:szCs w:val="24"/>
              </w:rPr>
              <w:t xml:space="preserve">-     În conformitate cu prevederile Ordonanței Guvernului. nr. 16/2002 privind contractele de parteneriat public-privat (act normativ sub incidenţa căruia este derulat prezentul contract de parteneriat public-privat), Autoritatea Publică îşi exercită drepturile în cadrul Companiei de Proiect prin intermediul unităţilor aflate în subordinea sau sub autoritatea acesteia. </w:t>
            </w:r>
          </w:p>
          <w:p w:rsidR="004F1081" w:rsidRPr="00461C3A" w:rsidRDefault="00350CB2">
            <w:pPr>
              <w:ind w:left="142" w:right="142" w:firstLine="567"/>
              <w:jc w:val="both"/>
            </w:pPr>
            <w:r w:rsidRPr="00461C3A">
              <w:rPr>
                <w:sz w:val="24"/>
                <w:szCs w:val="24"/>
              </w:rPr>
              <w:t xml:space="preserve">-     Ministerul Finanțelor Publice a preluat responsabilitatea gestionării proiectului, fără preluarea calităţii de acţionar/asociat în numele statului la Compania de Proiect. </w:t>
            </w:r>
          </w:p>
          <w:p w:rsidR="004F1081" w:rsidRPr="00461C3A" w:rsidRDefault="00350CB2">
            <w:pPr>
              <w:ind w:left="142" w:right="142" w:firstLine="567"/>
              <w:jc w:val="both"/>
              <w:rPr>
                <w:sz w:val="24"/>
                <w:szCs w:val="24"/>
              </w:rPr>
            </w:pPr>
            <w:r w:rsidRPr="00461C3A">
              <w:rPr>
                <w:sz w:val="24"/>
                <w:szCs w:val="24"/>
              </w:rPr>
              <w:t>Pe de altă parte, Compania Națională de Investiții S.A., conform contractului de parteneriat public-privat şi actului statutar al Companiei de Proiect, este reprezentantul statului în cadrul  Companiei de Proiect (cu un reprezentant în cadrul Consiliului de Administraţiei) Compania Națională de Investiții S.A funcţionează sub autoritatea Ministerului Dezvoltării Regionale și Administrației Publice, în consecinţă Ministerul Finanțelor Publice fiind în imposibilitatea monitorizării activităţii acestei entităţi sau a reprezentantului acesteia în Consiliul de Administrație în raport cu derularea contractului de parteneriat public-privat.</w:t>
            </w:r>
          </w:p>
          <w:p w:rsidR="009F6D23" w:rsidRPr="00461C3A" w:rsidRDefault="009F6D23" w:rsidP="009F6D23">
            <w:pPr>
              <w:ind w:right="142"/>
              <w:jc w:val="both"/>
            </w:pPr>
          </w:p>
          <w:p w:rsidR="009F6D23" w:rsidRPr="00461C3A" w:rsidRDefault="009F6D23" w:rsidP="009F6D23">
            <w:pPr>
              <w:ind w:right="142"/>
              <w:jc w:val="both"/>
              <w:rPr>
                <w:sz w:val="24"/>
                <w:szCs w:val="24"/>
              </w:rPr>
            </w:pPr>
            <w:r w:rsidRPr="00461C3A">
              <w:rPr>
                <w:sz w:val="24"/>
                <w:szCs w:val="24"/>
              </w:rPr>
              <w:t xml:space="preserve">În prezent, Ministerul Finanţelor Publice este organizat şi funcţionează ca organ de specialitate al administraţiei publice centrale, care aplică strategia şi </w:t>
            </w:r>
            <w:r w:rsidRPr="00461C3A">
              <w:rPr>
                <w:sz w:val="24"/>
                <w:szCs w:val="24"/>
              </w:rPr>
              <w:lastRenderedPageBreak/>
              <w:t xml:space="preserve">Programul de guvernare în domeniul finanţelor publice. </w:t>
            </w:r>
          </w:p>
          <w:p w:rsidR="009F6D23" w:rsidRPr="00461C3A" w:rsidRDefault="009F6D23" w:rsidP="009F6D23">
            <w:pPr>
              <w:ind w:right="142"/>
              <w:jc w:val="both"/>
              <w:rPr>
                <w:sz w:val="24"/>
                <w:szCs w:val="24"/>
              </w:rPr>
            </w:pPr>
            <w:r w:rsidRPr="00461C3A">
              <w:rPr>
                <w:sz w:val="24"/>
                <w:szCs w:val="24"/>
              </w:rPr>
              <w:t xml:space="preserve">Realizarea principalelor funcţii ale aparatului propriu Ministerului Finanţelor Publice, precum cele de strategie în domeniul fiscal-bugetar, contabilitate publică şi datorie publică, de sinteză şi reglementare, de reprezentare a statului şi a Guvernului României în plan intern şi extern, de estimare a veniturilor bugetare pe termen scurt, mediu şi lung şi de analiză a evoluţiilor macroeconomice şi bugetare interne şi internaţional, de administrare a veniturilor statului, de administrare a datorie publice, nu pot fi îndeplinite decât prin menţinerea unei continuităţi a personalului structurilor care, prin atribuţiile lor, realizează aceste funcţii extrem de importante ale Guvernului. Enumerăm în acest sens administrarea anuală a fondurilor publice în valoare de peste 280 miliarde de lei, coordonarea întregului mecanism al plăţilor prin intermediul trezoreriei statului, gestiunea datoriei publice externe și interne sau asigurarea reprezentării juridice a României în cele mai complexe litigii arbitrale investiţionale de competenţa Curţii de Arbitraj Internaţionale a Centrului Internaţional pentru Reglementarea Diferendelor Relative la Investiţii, unde valorile despăgubirilor pot ajunge chiar şi la nivel de miliarde de euro. </w:t>
            </w:r>
          </w:p>
          <w:p w:rsidR="009F6D23" w:rsidRPr="00461C3A" w:rsidRDefault="009F6D23" w:rsidP="009F6D23">
            <w:pPr>
              <w:ind w:right="142"/>
              <w:jc w:val="both"/>
              <w:rPr>
                <w:sz w:val="24"/>
                <w:szCs w:val="24"/>
              </w:rPr>
            </w:pPr>
            <w:r w:rsidRPr="00461C3A">
              <w:rPr>
                <w:sz w:val="24"/>
                <w:szCs w:val="24"/>
              </w:rPr>
              <w:t>Aşa cum rezultă din funcţiile Ministerului Finanţelor Publice, această instituţie gestionează domeniul financiar-fiscal al României,  urmărind asigurarea funcţionalităţii întregului sistem organizaţional al statului, prin instituirea cadrului legal pentru colectarea veniturilor publice şi urmărirea cheltuielilor astfel încât să determine stabilitatea bugetară şi, pe cale de consecinţă, a echilibrului social şi economic, elemente care privesc securitatea naţională.</w:t>
            </w:r>
          </w:p>
          <w:p w:rsidR="009F6D23" w:rsidRPr="00461C3A" w:rsidRDefault="009F6D23" w:rsidP="009F6D23">
            <w:pPr>
              <w:ind w:right="142"/>
              <w:jc w:val="both"/>
              <w:rPr>
                <w:sz w:val="24"/>
                <w:szCs w:val="24"/>
              </w:rPr>
            </w:pPr>
            <w:r w:rsidRPr="00461C3A">
              <w:rPr>
                <w:sz w:val="24"/>
                <w:szCs w:val="24"/>
              </w:rPr>
              <w:t xml:space="preserve">Pentru îndeplinirea acestor atribuții, la nivelul </w:t>
            </w:r>
            <w:r w:rsidR="008B464C" w:rsidRPr="00461C3A">
              <w:rPr>
                <w:sz w:val="24"/>
                <w:szCs w:val="24"/>
              </w:rPr>
              <w:t xml:space="preserve">Ministerului Finanţelor </w:t>
            </w:r>
            <w:r w:rsidRPr="00461C3A">
              <w:rPr>
                <w:sz w:val="24"/>
                <w:szCs w:val="24"/>
              </w:rPr>
              <w:t>există format un corp de funcționari de elită cu o experiență semnificativă în domeniul financiar-fiscal al României, al elaborării și avizării proiectelor de acte normative în diferite domenii de activitate, precum și litigiile de contencios administrativ, în special în cele având ca obiect reprezentarea Statului în diferite categorii de litigii de o importanță deosebită.</w:t>
            </w:r>
          </w:p>
          <w:p w:rsidR="009F6D23" w:rsidRPr="00461C3A" w:rsidRDefault="009F6D23" w:rsidP="009F6D23">
            <w:pPr>
              <w:ind w:right="142"/>
              <w:jc w:val="both"/>
              <w:rPr>
                <w:sz w:val="24"/>
                <w:szCs w:val="24"/>
              </w:rPr>
            </w:pPr>
            <w:r w:rsidRPr="00461C3A">
              <w:rPr>
                <w:sz w:val="24"/>
                <w:szCs w:val="24"/>
              </w:rPr>
              <w:t xml:space="preserve">Activităţile complexe ale Ministerului Finanţelor Publice, precum şi imperativul asigurării unei stabilităţi a personalului specializat din cadrul acestuia justifică </w:t>
            </w:r>
            <w:r w:rsidR="002C73A1">
              <w:rPr>
                <w:sz w:val="24"/>
                <w:szCs w:val="24"/>
              </w:rPr>
              <w:t>acordarea drepturilor salariale reglementate de legislația in vigoare</w:t>
            </w:r>
            <w:r w:rsidRPr="00461C3A">
              <w:rPr>
                <w:sz w:val="24"/>
                <w:szCs w:val="24"/>
              </w:rPr>
              <w:t xml:space="preserve">. Acordarea </w:t>
            </w:r>
            <w:r w:rsidR="002C73A1">
              <w:rPr>
                <w:sz w:val="24"/>
                <w:szCs w:val="24"/>
              </w:rPr>
              <w:t>sporului de condiții vătămătoare</w:t>
            </w:r>
            <w:r w:rsidRPr="00461C3A">
              <w:rPr>
                <w:sz w:val="24"/>
                <w:szCs w:val="24"/>
              </w:rPr>
              <w:t xml:space="preserve"> este de natură să diminueze diferențele salariale față de cele ale personalului din cadrul altor structuri cu atribuții similare </w:t>
            </w:r>
          </w:p>
          <w:p w:rsidR="009F6D23" w:rsidRPr="00461C3A" w:rsidRDefault="009F6D23" w:rsidP="009F6D23">
            <w:pPr>
              <w:ind w:right="142"/>
              <w:jc w:val="both"/>
              <w:rPr>
                <w:sz w:val="24"/>
                <w:szCs w:val="24"/>
              </w:rPr>
            </w:pPr>
            <w:r w:rsidRPr="00461C3A">
              <w:rPr>
                <w:sz w:val="24"/>
                <w:szCs w:val="24"/>
              </w:rPr>
              <w:t xml:space="preserve"> De asemenea, în urma unei misiuni de audit realizate în 2017 la nivelul M.F.P. s-a evidențiat existența unui deficit de personal la nivelul activităților specifice M.F.P. (procese operaționale) de 15% din posturilor alocate exclusiv acestor procese, cu concentrarea în zona procesului bugetar (programare, analiza cheltuieli, execuție bugetară) acesta reflectându-se inclusiv în gradul mediu de încărcare a acestui proces (154%) .</w:t>
            </w:r>
          </w:p>
          <w:p w:rsidR="009F6D23" w:rsidRPr="00461C3A" w:rsidRDefault="009F6D23" w:rsidP="009F6D23">
            <w:pPr>
              <w:ind w:right="142"/>
              <w:jc w:val="both"/>
              <w:rPr>
                <w:sz w:val="24"/>
                <w:szCs w:val="24"/>
              </w:rPr>
            </w:pPr>
            <w:r w:rsidRPr="00461C3A">
              <w:rPr>
                <w:sz w:val="24"/>
                <w:szCs w:val="24"/>
              </w:rPr>
              <w:t xml:space="preserve"> Pentru activitățile suport, deficitul de personal este de 7,5% din totalul personalului alocat proceselor suport. Acest deficit are impact nu doar asupra derulării activităților suport dar și asupra modului de derulare a proceselor operaționale/specifice M.F.P.</w:t>
            </w:r>
          </w:p>
          <w:p w:rsidR="009F6D23" w:rsidRPr="00461C3A" w:rsidRDefault="009F6D23" w:rsidP="009F6D23">
            <w:pPr>
              <w:ind w:right="142"/>
              <w:jc w:val="both"/>
              <w:rPr>
                <w:sz w:val="24"/>
                <w:szCs w:val="24"/>
              </w:rPr>
            </w:pPr>
            <w:r w:rsidRPr="00461C3A">
              <w:rPr>
                <w:sz w:val="24"/>
                <w:szCs w:val="24"/>
              </w:rPr>
              <w:t xml:space="preserve">Pe ansamblu, la nivelul M.F.P. a rezultat un grad de încărcare mediu de 134%,  rezultat atât pe baza unor referențiale, cat și pe baza raționamentului profesional. Menținerea unui grad de încărcare excedentar poate genera riscuri privind fluctuația personalului, pierderea expertizei deja pe domenii deficitare, diminuarea eficientei sistemului de control intern, prejudicii financiare si/sau de imagine pentru minister. </w:t>
            </w:r>
          </w:p>
          <w:p w:rsidR="009F6D23" w:rsidRPr="00461C3A" w:rsidRDefault="009F6D23" w:rsidP="009F6D23">
            <w:pPr>
              <w:ind w:right="142"/>
              <w:jc w:val="both"/>
              <w:rPr>
                <w:sz w:val="24"/>
                <w:szCs w:val="24"/>
              </w:rPr>
            </w:pPr>
            <w:r w:rsidRPr="00461C3A">
              <w:rPr>
                <w:sz w:val="24"/>
                <w:szCs w:val="24"/>
              </w:rPr>
              <w:t xml:space="preserve">       Așa cum reiese și din Analiza Funcțională și Analiza Instituțională realizată la nivelul Ministerului Finanțelor Publice de către experții Băncii Mondiale, </w:t>
            </w:r>
            <w:r w:rsidRPr="00461C3A">
              <w:rPr>
                <w:sz w:val="24"/>
                <w:szCs w:val="24"/>
              </w:rPr>
              <w:lastRenderedPageBreak/>
              <w:t xml:space="preserve">personalul calificat demisionează după câţiva ani, pentru a căuta alte oportunităţi de dezvoltare a carierei.  </w:t>
            </w:r>
          </w:p>
          <w:p w:rsidR="009F6D23" w:rsidRPr="00461C3A" w:rsidRDefault="009F6D23" w:rsidP="009F6D23">
            <w:pPr>
              <w:ind w:right="142"/>
              <w:jc w:val="both"/>
              <w:rPr>
                <w:sz w:val="24"/>
                <w:szCs w:val="24"/>
              </w:rPr>
            </w:pPr>
            <w:r w:rsidRPr="00461C3A">
              <w:rPr>
                <w:sz w:val="24"/>
                <w:szCs w:val="24"/>
              </w:rPr>
              <w:tab/>
              <w:t xml:space="preserve">Începând cu 01.01.2018 la nivelul aparatului propriu al Ministerului Finanțelor Publice acest fenomen a luat amploare printr-o creștere exponențială a migrării angajaților bine pregătiți din diferite domenii de activitate ale instituției (ex. buget, economic, juridic, achiziții publice, etc.) către alte instituții publice unde pachetul salarial a devenit mai atractiv, ulterior intrării în vigoare a Legii – cadru privind salarizarea personalului plătit din fonduri publice. </w:t>
            </w:r>
          </w:p>
          <w:p w:rsidR="009F6D23" w:rsidRPr="00461C3A" w:rsidRDefault="009F6D23" w:rsidP="009F6D23">
            <w:pPr>
              <w:ind w:right="142"/>
              <w:jc w:val="both"/>
              <w:rPr>
                <w:sz w:val="24"/>
                <w:szCs w:val="24"/>
              </w:rPr>
            </w:pPr>
            <w:r w:rsidRPr="00461C3A">
              <w:rPr>
                <w:sz w:val="24"/>
                <w:szCs w:val="24"/>
              </w:rPr>
              <w:t>La toate nivelurile din aparatul propriu al ministerului se regăsesc oameni bine pregătiţi şi dedicaţi, mai mult de 90 % din aceștia având o diplomă universitară, în domeniul științelor economice, științe juridice și alte domenii.</w:t>
            </w:r>
          </w:p>
          <w:p w:rsidR="009F6D23" w:rsidRPr="00461C3A" w:rsidRDefault="009F6D23" w:rsidP="009F6D23">
            <w:pPr>
              <w:ind w:right="142"/>
              <w:jc w:val="both"/>
              <w:rPr>
                <w:sz w:val="24"/>
                <w:szCs w:val="24"/>
              </w:rPr>
            </w:pPr>
            <w:r w:rsidRPr="00461C3A">
              <w:rPr>
                <w:sz w:val="24"/>
                <w:szCs w:val="24"/>
              </w:rPr>
              <w:t>Experiența dovedește că un angajat se formează la locul de muncă, în medie, în aproximativ 7 ani.</w:t>
            </w:r>
          </w:p>
          <w:p w:rsidR="004F1081" w:rsidRPr="00461C3A" w:rsidRDefault="004F1081" w:rsidP="002C73A1">
            <w:pPr>
              <w:ind w:right="142"/>
              <w:jc w:val="both"/>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445"/>
        </w:trPr>
        <w:tc>
          <w:tcPr>
            <w:tcW w:w="267" w:type="dxa"/>
            <w:shd w:val="clear" w:color="auto" w:fill="auto"/>
          </w:tcPr>
          <w:p w:rsidR="004F1081" w:rsidRPr="00461C3A" w:rsidRDefault="004F1081">
            <w:pPr>
              <w:pStyle w:val="TableContents"/>
              <w:snapToGrid w:val="0"/>
              <w:rPr>
                <w:sz w:val="24"/>
                <w:szCs w:val="24"/>
              </w:rPr>
            </w:pPr>
          </w:p>
        </w:tc>
        <w:tc>
          <w:tcPr>
            <w:tcW w:w="2261" w:type="dxa"/>
            <w:tcBorders>
              <w:top w:val="single" w:sz="4" w:space="0" w:color="000001"/>
              <w:left w:val="single" w:sz="4" w:space="0" w:color="000001"/>
              <w:bottom w:val="single" w:sz="4" w:space="0" w:color="000001"/>
            </w:tcBorders>
            <w:shd w:val="clear" w:color="auto" w:fill="auto"/>
            <w:vAlign w:val="center"/>
          </w:tcPr>
          <w:p w:rsidR="004F1081" w:rsidRPr="00461C3A" w:rsidRDefault="00350CB2">
            <w:pPr>
              <w:snapToGrid w:val="0"/>
            </w:pPr>
            <w:r w:rsidRPr="00461C3A">
              <w:rPr>
                <w:b/>
                <w:bCs/>
                <w:sz w:val="24"/>
                <w:szCs w:val="24"/>
              </w:rPr>
              <w:t>2. Schimbări preconizate</w:t>
            </w:r>
          </w:p>
        </w:tc>
        <w:tc>
          <w:tcPr>
            <w:tcW w:w="7896" w:type="dxa"/>
            <w:gridSpan w:val="8"/>
            <w:tcBorders>
              <w:top w:val="single" w:sz="4" w:space="0" w:color="000001"/>
              <w:left w:val="single" w:sz="4" w:space="0" w:color="000001"/>
              <w:bottom w:val="single" w:sz="4" w:space="0" w:color="000001"/>
            </w:tcBorders>
            <w:shd w:val="clear" w:color="auto" w:fill="auto"/>
            <w:vAlign w:val="center"/>
          </w:tcPr>
          <w:p w:rsidR="004F1081" w:rsidRPr="00461C3A" w:rsidRDefault="004F1081">
            <w:pPr>
              <w:ind w:left="142" w:right="142" w:firstLine="567"/>
              <w:jc w:val="both"/>
              <w:rPr>
                <w:b/>
                <w:sz w:val="24"/>
                <w:szCs w:val="24"/>
              </w:rPr>
            </w:pPr>
          </w:p>
          <w:p w:rsidR="004F1081" w:rsidRPr="00461C3A" w:rsidRDefault="00350CB2">
            <w:pPr>
              <w:ind w:left="142" w:right="142" w:firstLine="567"/>
              <w:jc w:val="both"/>
              <w:rPr>
                <w:b/>
                <w:sz w:val="24"/>
                <w:szCs w:val="24"/>
              </w:rPr>
            </w:pPr>
            <w:r w:rsidRPr="00461C3A">
              <w:rPr>
                <w:b/>
                <w:sz w:val="24"/>
                <w:szCs w:val="24"/>
              </w:rPr>
              <w:t>Legea nr. 227/2015 privind Codul fiscal, cu modificările și completările ulterioare</w:t>
            </w:r>
          </w:p>
          <w:p w:rsidR="00A51EF6" w:rsidRPr="00461C3A" w:rsidRDefault="00A51EF6">
            <w:pPr>
              <w:ind w:left="142" w:right="142" w:firstLine="567"/>
              <w:jc w:val="both"/>
              <w:rPr>
                <w:b/>
                <w:sz w:val="24"/>
                <w:szCs w:val="24"/>
              </w:rPr>
            </w:pPr>
          </w:p>
          <w:p w:rsidR="00A51EF6" w:rsidRPr="00461C3A" w:rsidRDefault="00A51EF6" w:rsidP="00A51EF6">
            <w:pPr>
              <w:ind w:left="142" w:right="142" w:firstLine="567"/>
              <w:jc w:val="both"/>
            </w:pPr>
            <w:r w:rsidRPr="00461C3A">
              <w:rPr>
                <w:i/>
                <w:sz w:val="24"/>
                <w:szCs w:val="24"/>
              </w:rPr>
              <w:t xml:space="preserve">Titlul V - Contribuții sociale obligatorii </w:t>
            </w:r>
          </w:p>
          <w:p w:rsidR="00A51EF6" w:rsidRPr="00461C3A" w:rsidRDefault="00A51EF6" w:rsidP="00A51EF6">
            <w:pPr>
              <w:ind w:left="142" w:right="142" w:firstLine="567"/>
              <w:jc w:val="both"/>
            </w:pPr>
            <w:r w:rsidRPr="00461C3A">
              <w:rPr>
                <w:sz w:val="24"/>
                <w:szCs w:val="24"/>
                <w:lang w:eastAsia="ro-RO"/>
              </w:rPr>
              <w:t xml:space="preserve">Se propune includerea în baza de calcul al contribuţiilor sociale obligatorii (CAS, CASS și CAM), a biletelor de valoare sub forma tichetelor cadou acordate potrivit legii, în cazul persoanelor fizice care realizează venituri din salarii sau asimilate salariilor, pentru alte situații decât decât cele cu ocazia Paştelui, zilei de 1 iunie, Crăciunului şi a sărbătorilor similare ale altor culte religioase, precum şi  cele oferite salariatelor cu ocazia zilei de 8 martie. </w:t>
            </w:r>
          </w:p>
          <w:p w:rsidR="00A51EF6" w:rsidRPr="00461C3A" w:rsidRDefault="00A51EF6" w:rsidP="00A51EF6">
            <w:pPr>
              <w:ind w:left="142" w:right="142" w:firstLine="567"/>
              <w:jc w:val="both"/>
            </w:pPr>
            <w:r w:rsidRPr="00461C3A">
              <w:rPr>
                <w:sz w:val="24"/>
                <w:szCs w:val="24"/>
                <w:lang w:eastAsia="ro-RO"/>
              </w:rPr>
              <w:t>Se menține regimul de exceptare de la plata contribuțiilor sociale numai pentru tichetele cadou acordate de angajator/plătitor cu ocazia Paștelui, zilei de 1 iunie, Crăciunului și a sărbătorilor similare ale altor culte religioase, precum și cele oferite salariatelor cu ocazia zilei de 8 martie, în limita plafonului de 150 lei/eveniment/persoană.</w:t>
            </w:r>
          </w:p>
          <w:p w:rsidR="00A51EF6" w:rsidRPr="00461C3A" w:rsidRDefault="00A51EF6" w:rsidP="00A51EF6">
            <w:pPr>
              <w:ind w:left="142" w:right="142" w:firstLine="567"/>
              <w:jc w:val="both"/>
            </w:pPr>
            <w:r w:rsidRPr="00461C3A">
              <w:rPr>
                <w:bCs/>
                <w:iCs/>
                <w:sz w:val="24"/>
                <w:szCs w:val="24"/>
              </w:rPr>
              <w:t>Se propune corelarea textului prevederilor referitoare la contribuțiile sociale obligatorii datorate de persoanele fizice care realizează venituri din salarii şi asimilate salariilor de la angajatori care desfăşoară activităţi în sectorul construcţiilor, cu cele de la Titlul IV- Impozitul pe venit, cu privire la eliminarea sintagmei ”contract individual de muncă”, ca urmare a modificărilor aduse prin OUG nr. 43/2019</w:t>
            </w:r>
            <w:r w:rsidRPr="00461C3A">
              <w:rPr>
                <w:sz w:val="24"/>
                <w:szCs w:val="24"/>
              </w:rPr>
              <w:t>.</w:t>
            </w:r>
          </w:p>
          <w:p w:rsidR="00A51EF6" w:rsidRPr="00461C3A" w:rsidRDefault="00A51EF6">
            <w:pPr>
              <w:ind w:left="142" w:right="142" w:firstLine="567"/>
              <w:jc w:val="both"/>
            </w:pPr>
          </w:p>
          <w:p w:rsidR="004F1081" w:rsidRPr="00461C3A" w:rsidRDefault="004F1081">
            <w:pPr>
              <w:ind w:left="142" w:right="142" w:firstLine="567"/>
              <w:jc w:val="both"/>
              <w:rPr>
                <w:b/>
                <w:sz w:val="24"/>
                <w:szCs w:val="24"/>
              </w:rPr>
            </w:pPr>
          </w:p>
          <w:p w:rsidR="004F1081" w:rsidRPr="00461C3A" w:rsidRDefault="00350CB2">
            <w:pPr>
              <w:ind w:left="142" w:right="142" w:firstLine="567"/>
              <w:jc w:val="both"/>
            </w:pPr>
            <w:r w:rsidRPr="00461C3A">
              <w:rPr>
                <w:i/>
                <w:sz w:val="24"/>
                <w:szCs w:val="24"/>
              </w:rPr>
              <w:t>Titlul VIII –</w:t>
            </w:r>
            <w:r w:rsidRPr="00461C3A">
              <w:rPr>
                <w:bCs/>
                <w:i/>
                <w:sz w:val="24"/>
                <w:szCs w:val="24"/>
              </w:rPr>
              <w:t xml:space="preserve"> Accize şi alte taxe speciale</w:t>
            </w:r>
          </w:p>
          <w:p w:rsidR="004F1081" w:rsidRPr="00461C3A" w:rsidRDefault="00350CB2">
            <w:pPr>
              <w:ind w:left="142" w:right="142" w:firstLine="567"/>
              <w:jc w:val="both"/>
            </w:pPr>
            <w:r w:rsidRPr="00461C3A">
              <w:rPr>
                <w:bCs/>
                <w:iCs/>
                <w:sz w:val="24"/>
                <w:szCs w:val="24"/>
              </w:rPr>
              <w:t>1.</w:t>
            </w:r>
            <w:r w:rsidRPr="00461C3A">
              <w:rPr>
                <w:iCs/>
                <w:sz w:val="24"/>
                <w:szCs w:val="24"/>
              </w:rPr>
              <w:t xml:space="preserve"> Pentru a fi evitată declanșarea acțiunii în constatarea neîndeplinirii obligațiilor (infringement) împotriva țării noastre, legislația națională, respectiv Legea nr. 227/2015 privind Codul fiscal, cu modificările și completările ulterioare, trebuie modificată astfel încât să fie conformă cu reglementările Uniunii Europene în domeniul accizelor.</w:t>
            </w:r>
          </w:p>
          <w:p w:rsidR="004F1081" w:rsidRPr="00461C3A" w:rsidRDefault="00350CB2">
            <w:pPr>
              <w:ind w:left="142" w:right="142" w:firstLine="567"/>
              <w:jc w:val="both"/>
            </w:pPr>
            <w:r w:rsidRPr="00461C3A">
              <w:rPr>
                <w:iCs/>
                <w:sz w:val="24"/>
                <w:szCs w:val="24"/>
              </w:rPr>
              <w:t>În acest sens, se impune adoptarea unor măsuri pentru a corecta neconcordanța cu Directiva 2011/64/UE, respectiv acciza globală pe țigarete să reprezinte cel puțin 60% din prețul mediu ponderat de vânzare cu amănuntul al țigaretelor eliberate pentru consum.</w:t>
            </w:r>
          </w:p>
          <w:p w:rsidR="004F1081" w:rsidRPr="00461C3A" w:rsidRDefault="00350CB2">
            <w:pPr>
              <w:ind w:left="142" w:right="142" w:firstLine="567"/>
              <w:jc w:val="both"/>
            </w:pPr>
            <w:r w:rsidRPr="00461C3A">
              <w:rPr>
                <w:iCs/>
                <w:sz w:val="24"/>
                <w:szCs w:val="24"/>
              </w:rPr>
              <w:t xml:space="preserve">Având în vedere că nivelul actual al accizei totale pentru țigarete nu reprezintă cel puțin 60 % din prețul mediu ponderat de vânzare cu amănuntul al țigaretelor eliberate pentru consum, se impune creșterea nivelul accizei </w:t>
            </w:r>
            <w:r w:rsidRPr="00461C3A">
              <w:rPr>
                <w:iCs/>
                <w:sz w:val="24"/>
                <w:szCs w:val="24"/>
              </w:rPr>
              <w:lastRenderedPageBreak/>
              <w:t xml:space="preserve">totale pentru țigarete, începând cu 1 septembrie 2019, de la 483,74 lei/1.000 țigarete la 503,97 lei/1.000 de țigarete. </w:t>
            </w:r>
          </w:p>
          <w:p w:rsidR="004F1081" w:rsidRPr="00461C3A" w:rsidRDefault="00350CB2">
            <w:pPr>
              <w:ind w:left="142" w:right="142" w:firstLine="567"/>
              <w:jc w:val="both"/>
            </w:pPr>
            <w:r w:rsidRPr="00461C3A">
              <w:rPr>
                <w:iCs/>
                <w:sz w:val="24"/>
                <w:szCs w:val="24"/>
              </w:rPr>
              <w:t xml:space="preserve">De asemenea, ținând cont că potrivit art. 343 alin. (5) din Codul fiscal, acciza specifică pentru țigarete se determină pe baza prețului mediu ponderat de vânzare cu amănuntul, a procentului legal aferent accizei ad valorem și al accizei totale, precum și faptul că începând cu data 1 septembrie 2019 va crește nivelul accizei totale pentru țigarete, se impune actualizarea nivelului accizei specifice pentru țigarete. </w:t>
            </w:r>
          </w:p>
          <w:p w:rsidR="004F1081" w:rsidRPr="00461C3A" w:rsidRDefault="00350CB2">
            <w:pPr>
              <w:ind w:left="142" w:right="142" w:firstLine="567"/>
              <w:jc w:val="both"/>
            </w:pPr>
            <w:r w:rsidRPr="00461C3A">
              <w:rPr>
                <w:sz w:val="24"/>
                <w:szCs w:val="24"/>
              </w:rPr>
              <w:t>Totodată, având în vedere că</w:t>
            </w:r>
            <w:r w:rsidRPr="00461C3A">
              <w:rPr>
                <w:bCs/>
                <w:sz w:val="24"/>
                <w:szCs w:val="24"/>
              </w:rPr>
              <w:t xml:space="preserve"> nivelul accizei totale pentru țigarete stabilit pentru anul 2020 este mai mic de 503,97 lei/1.000 țigarete, precum și în vederea asigurării respectării prevederilor art. 10 alin. (2) din Directiva 2011/64/UE </w:t>
            </w:r>
            <w:r w:rsidRPr="00461C3A">
              <w:rPr>
                <w:bCs/>
                <w:iCs/>
                <w:sz w:val="24"/>
                <w:szCs w:val="24"/>
              </w:rPr>
              <w:t xml:space="preserve">se impune modificarea calendarului privind nivelul </w:t>
            </w:r>
            <w:r w:rsidRPr="00461C3A">
              <w:rPr>
                <w:bCs/>
                <w:sz w:val="24"/>
                <w:szCs w:val="24"/>
              </w:rPr>
              <w:t xml:space="preserve">accizei totale pentru țigarete prevăzut în Anexa nr. 1 </w:t>
            </w:r>
            <w:r w:rsidRPr="00461C3A">
              <w:rPr>
                <w:sz w:val="24"/>
                <w:szCs w:val="24"/>
              </w:rPr>
              <w:t xml:space="preserve">de la Titlul VIII din </w:t>
            </w:r>
            <w:r w:rsidRPr="00461C3A">
              <w:rPr>
                <w:bCs/>
                <w:sz w:val="24"/>
                <w:szCs w:val="24"/>
              </w:rPr>
              <w:t>Codul fiscal.</w:t>
            </w:r>
          </w:p>
          <w:p w:rsidR="004F1081" w:rsidRPr="00461C3A" w:rsidRDefault="00350CB2">
            <w:pPr>
              <w:ind w:left="142" w:right="142" w:firstLine="567"/>
              <w:jc w:val="both"/>
            </w:pPr>
            <w:r w:rsidRPr="00461C3A">
              <w:rPr>
                <w:bCs/>
                <w:iCs/>
                <w:sz w:val="24"/>
                <w:szCs w:val="24"/>
              </w:rPr>
              <w:t>2.</w:t>
            </w:r>
            <w:r w:rsidRPr="00461C3A">
              <w:rPr>
                <w:iCs/>
                <w:sz w:val="24"/>
                <w:szCs w:val="24"/>
              </w:rPr>
              <w:t xml:space="preserve"> În Uniunea Europeană, 52% din populația adultă este în prezent supraponderală, iar din această proporție 17% suferă de obezitate. Epidemia de obezitate constituie o povară imensă asupra sistemelor de sănătate, obezitatea reprezentând, în prezent, unul din principalii factori responsabili de morbiditate la nivel mondial.</w:t>
            </w:r>
          </w:p>
          <w:p w:rsidR="004F1081" w:rsidRPr="00461C3A" w:rsidRDefault="00350CB2">
            <w:pPr>
              <w:ind w:left="142" w:right="142" w:firstLine="567"/>
              <w:jc w:val="both"/>
            </w:pPr>
            <w:r w:rsidRPr="00461C3A">
              <w:rPr>
                <w:sz w:val="24"/>
                <w:szCs w:val="24"/>
              </w:rPr>
              <w:t xml:space="preserve">De asemenea, se relevă cifre îngrijorătoare şi în cazul obezităţii infantile, cu repercursiuni importante asupra sănătăţii viitorului adult. Planul de Acţiune pentru Prevenţia şi Controlul Bolilor netransmisibile al Organizaţiei Mondiale a Sănătăţii arată faptul că supraponderea şi obezitatea la copii şi tineri înregistrează un trend ascendent. </w:t>
            </w:r>
          </w:p>
          <w:p w:rsidR="004F1081" w:rsidRPr="00461C3A" w:rsidRDefault="00350CB2">
            <w:pPr>
              <w:ind w:left="142" w:right="142" w:firstLine="567"/>
              <w:jc w:val="both"/>
            </w:pPr>
            <w:r w:rsidRPr="00461C3A">
              <w:rPr>
                <w:sz w:val="24"/>
                <w:szCs w:val="24"/>
              </w:rPr>
              <w:t>Organizaţia Mondială a Sănătăţii recunoaşte contribuţia alimentelor cu exces de ingrediente dăunatoare în etiopatogenia bolilor cronice netransmisibile, inclusiv a obezităţii şi a bolilor cardiovasculare. În aria largă a măsurilor care au ca scop modificarea consumului de alimente nesănătoase există si posibilitatea suprataxării unor produse care conțin un nivel exagerat din nutrienți considerați dăunatori (zahăr, sare, grăsimi saturate)</w:t>
            </w:r>
            <w:r w:rsidRPr="00461C3A">
              <w:rPr>
                <w:sz w:val="24"/>
                <w:szCs w:val="24"/>
                <w:vertAlign w:val="superscript"/>
              </w:rPr>
              <w:t>.</w:t>
            </w:r>
          </w:p>
          <w:p w:rsidR="004F1081" w:rsidRPr="00461C3A" w:rsidRDefault="00350CB2">
            <w:pPr>
              <w:ind w:left="142" w:right="142" w:firstLine="567"/>
              <w:jc w:val="both"/>
            </w:pPr>
            <w:r w:rsidRPr="00461C3A">
              <w:rPr>
                <w:iCs/>
                <w:sz w:val="24"/>
                <w:szCs w:val="24"/>
              </w:rPr>
              <w:t>Această măsură descurajează consumul de alimente nesănatoase și aduce venituri care pot fi investite în educație și sănătate.</w:t>
            </w:r>
          </w:p>
          <w:p w:rsidR="004F1081" w:rsidRPr="00461C3A" w:rsidRDefault="00350CB2">
            <w:pPr>
              <w:ind w:left="142" w:right="142" w:firstLine="567"/>
              <w:jc w:val="both"/>
            </w:pPr>
            <w:r w:rsidRPr="00461C3A">
              <w:rPr>
                <w:iCs/>
                <w:sz w:val="24"/>
                <w:szCs w:val="24"/>
              </w:rPr>
              <w:t>În ceea ce priveşte alimentele cu adaos mare de zaharuri, produsele incriminate a avea un impact mai mare asupra sănătăţii sunt produsele lichide, precum băuturile răcoritoare îndulcite cu zahăr, deoarece consumatorul nu are imaginea concretă a cantităţii de calorii ingerate, spre deosebire de produsele zaharoase solide asupra cărora percepţia calorică este bine cunoscută. În plus, caloriile lichide nu au proprietăți puternice de saţietate şi nu suprimă foamea, astfel că ele sunt consumate în cantităţi mult mai mari, aportul caloric fiind în ansamblu mai mare, cu impact important asupra sănătăţii consumatorilor.</w:t>
            </w:r>
          </w:p>
          <w:p w:rsidR="004F1081" w:rsidRPr="00461C3A" w:rsidRDefault="00350CB2">
            <w:pPr>
              <w:ind w:left="142" w:right="142" w:firstLine="567"/>
              <w:jc w:val="both"/>
            </w:pPr>
            <w:r w:rsidRPr="00461C3A">
              <w:rPr>
                <w:iCs/>
                <w:sz w:val="24"/>
                <w:szCs w:val="24"/>
              </w:rPr>
              <w:t>În acest sens, se impune adoptarea unor măsuri în vederea combaterii consumului de băuturi răcoritoare cu conținut ridicat de zaharuri libere, prin introducerea acestora în sfera produselor supuse accizelor nearmonizate.</w:t>
            </w:r>
          </w:p>
          <w:p w:rsidR="004F1081" w:rsidRPr="00461C3A" w:rsidRDefault="004F1081">
            <w:pPr>
              <w:ind w:left="142" w:right="142" w:firstLine="567"/>
              <w:jc w:val="both"/>
            </w:pPr>
          </w:p>
          <w:p w:rsidR="004F1081" w:rsidRPr="00461C3A" w:rsidRDefault="00350CB2">
            <w:pPr>
              <w:ind w:left="142" w:right="142" w:firstLine="567"/>
              <w:jc w:val="both"/>
            </w:pPr>
            <w:r w:rsidRPr="00461C3A">
              <w:rPr>
                <w:sz w:val="24"/>
                <w:szCs w:val="24"/>
              </w:rPr>
              <w:t xml:space="preserve">În legătură cu aplicarea dispozițiilor care modifică și completează prevederile Codului fiscal referitoare la facilitățile fiscale din domeniul construcțiilor, astfel cum au fost introduse prin Ordonanța de urgență a Guvernului nr. 43/2019 pentru modificarea și completarea unor acte normative care privesc stabilirea unor măsuri în domeniul investițiilor, ținând cont de caracterul lunar al obligațiilor fiscale aferente veniturilor din salarii și asimilate salariilor, precum și al indicatorului lunar ”cifra de afaceri”, în funcție de care se aplică facilitățile fiscale, pentru evitarea aplicării neunitare a prevederilor fiscale, se propune clarificarea lunii în care se realizează </w:t>
            </w:r>
            <w:r w:rsidRPr="00461C3A">
              <w:rPr>
                <w:sz w:val="24"/>
                <w:szCs w:val="24"/>
              </w:rPr>
              <w:lastRenderedPageBreak/>
              <w:t>veniturile pentru care se aplică noile prevederi, respectiv începând cu veniturile aferente lunii iulie 2019.</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În planul politicilor economice, Guvernul are ca obiectiv principal consolidarea și menținerea unei creșteri economice inteligente și sustenabile, de natură a furniza premisele consolidării unui stat puternic, proactiv și a unei societăți echilibrate, cu o clasă de mijloc extinsă.</w:t>
            </w:r>
          </w:p>
          <w:p w:rsidR="004F1081" w:rsidRPr="00461C3A" w:rsidRDefault="00350CB2">
            <w:pPr>
              <w:ind w:left="142" w:right="142" w:firstLine="567"/>
              <w:jc w:val="both"/>
            </w:pPr>
            <w:r w:rsidRPr="00461C3A">
              <w:rPr>
                <w:sz w:val="24"/>
                <w:szCs w:val="24"/>
              </w:rPr>
              <w:t>Politica de deficit bugetar continuă să susțină în mod direct creșterea economică în marja permisă de Tratatul privind funcționarea Uniunii Europene (TFUE), respectiv un deficit bugetar ESA de sub 3% din PIB.</w:t>
            </w:r>
          </w:p>
          <w:p w:rsidR="004F1081" w:rsidRPr="00461C3A" w:rsidRDefault="00350CB2">
            <w:pPr>
              <w:ind w:left="142" w:right="142" w:firstLine="567"/>
              <w:jc w:val="both"/>
            </w:pPr>
            <w:r w:rsidRPr="00461C3A">
              <w:rPr>
                <w:sz w:val="24"/>
                <w:szCs w:val="24"/>
              </w:rPr>
              <w:t>Serviciile publice constituie principalul element la care cetăţeanul se raportează atunci când evaluează rezultatele/performanţele administraţiei publice. Pentru a asigura creşterea calităţii şi a accesului la serviciile publice este important să se dezvolte o administraţie suplă, cu viteză de reacţie rapidă şi proactivă, consistentă în decizii şi cu resurse umane motivate şi profesioniste.</w:t>
            </w:r>
          </w:p>
          <w:p w:rsidR="004F1081" w:rsidRPr="00461C3A" w:rsidRDefault="00350CB2">
            <w:pPr>
              <w:ind w:left="142" w:right="142" w:firstLine="567"/>
              <w:jc w:val="both"/>
            </w:pPr>
            <w:r w:rsidRPr="00461C3A">
              <w:rPr>
                <w:sz w:val="24"/>
                <w:szCs w:val="24"/>
              </w:rPr>
              <w:t>De asemenea, reducerea birocraţiei şi simplificarea procedurilor, atât pentru cetăţeni şi mediul de afaceri, cât şi la nivel inter şi intra-instituţional, sunt de natură să eficientizeze activitatea administraţiei publice (din perspectiva costurilor şi timpului de reacţie) şi să crească gradul de transparenţă şi integritate în prestarea serviciilor.</w:t>
            </w:r>
          </w:p>
          <w:p w:rsidR="004F1081" w:rsidRPr="00461C3A" w:rsidRDefault="00350CB2">
            <w:pPr>
              <w:ind w:left="142" w:right="142" w:firstLine="567"/>
              <w:jc w:val="both"/>
            </w:pPr>
            <w:r w:rsidRPr="00461C3A">
              <w:rPr>
                <w:sz w:val="24"/>
                <w:szCs w:val="24"/>
              </w:rPr>
              <w:t xml:space="preserve">Pentru a realiza aceste deziderate o primă etapă în reformarea administrației publice centrale o reprezintă revizuirea structurilor organizatorice astfel încât să se asigure o eficientizare a activităţii, o mai bună coordonare a politicilor sectoriale, și  realizarea unor structuri administrative funcţionale. </w:t>
            </w:r>
          </w:p>
          <w:p w:rsidR="004F1081" w:rsidRPr="00461C3A" w:rsidRDefault="00350CB2">
            <w:pPr>
              <w:ind w:left="142" w:right="142"/>
              <w:jc w:val="both"/>
            </w:pPr>
            <w:r w:rsidRPr="00461C3A">
              <w:rPr>
                <w:sz w:val="24"/>
                <w:szCs w:val="24"/>
              </w:rPr>
              <w:t xml:space="preserve">  În actualele condiţii economice, în care reafirmarea tot mai accentuată a  principiului economicităţii şi eficientizării activităţii sectorului public, desfăşurarea activităţii vizând în permanenţă gestionarea performantă a fondurilor publice a devenit o condiţie obligatorie pentru managementul organizaţiilor publice.</w:t>
            </w:r>
          </w:p>
          <w:p w:rsidR="004F1081" w:rsidRPr="00461C3A" w:rsidRDefault="00350CB2">
            <w:pPr>
              <w:ind w:left="142" w:right="142" w:firstLine="567"/>
              <w:jc w:val="both"/>
            </w:pPr>
            <w:r w:rsidRPr="00461C3A">
              <w:rPr>
                <w:sz w:val="24"/>
                <w:szCs w:val="24"/>
              </w:rPr>
              <w:t>Astfel, se impune adoptarea unor măsuri care să conducă la o utilizare eficientă și eficace a fondurilor publice.</w:t>
            </w:r>
          </w:p>
          <w:p w:rsidR="004F1081" w:rsidRPr="00461C3A" w:rsidRDefault="00350CB2">
            <w:pPr>
              <w:ind w:left="142" w:right="142" w:firstLine="567"/>
              <w:jc w:val="both"/>
            </w:pPr>
            <w:r w:rsidRPr="00461C3A">
              <w:rPr>
                <w:sz w:val="24"/>
                <w:szCs w:val="24"/>
              </w:rPr>
              <w:t>În vederea continuării procesului de standardizare a structurilor din cadrul administrației publice, se propune extinderea aplicabilității normativelor în vigoare în domeniul funcției publice pentru celelalte categorii de personal din sectorul bugetar, respectiv se propune ca prevederile art. 391 din Ordonanța de urgență a Guvernului nr. 57/2019 privind Codul administrativ, să se aplice în mod corespunzător tuturor autorităţilor şi instituţiilor publice, astfel cum sunt definite la art. 2 alin. (1) pct. 30 din Legea nr. 500/2002, cu modificările şi completările ulterioare, şi la art. 2 alin. (1) pct. 39 din Legea nr. 273/2006, cu modificările şi completările ulterioare, indiferent de sistemul de finanţare, subordonare și de categoria de personal prevăzută în statul de funcții.</w:t>
            </w:r>
          </w:p>
          <w:p w:rsidR="004F1081" w:rsidRPr="00461C3A" w:rsidRDefault="00350CB2">
            <w:pPr>
              <w:ind w:left="142" w:right="142" w:firstLine="567"/>
              <w:jc w:val="both"/>
            </w:pPr>
            <w:r w:rsidRPr="00461C3A">
              <w:rPr>
                <w:sz w:val="24"/>
                <w:szCs w:val="24"/>
              </w:rPr>
              <w:t xml:space="preserve">Se propune diminuarea numărului de posturi aferente cabinetului secretarului de stat, subsecretarilor de stat și asimilaților acestora din cadrul ministerelor și aparatului de lucru al Guvernului, precum și cele aferente cabinetului conducătorului de organ de specialitate al administraţiei publice centrale cu rang de secretar de stat. </w:t>
            </w:r>
          </w:p>
          <w:p w:rsidR="004F1081" w:rsidRPr="00461C3A" w:rsidRDefault="00350CB2">
            <w:pPr>
              <w:ind w:left="142" w:right="142" w:firstLine="567"/>
              <w:jc w:val="both"/>
            </w:pPr>
            <w:r w:rsidRPr="00461C3A">
              <w:rPr>
                <w:sz w:val="24"/>
                <w:szCs w:val="24"/>
              </w:rPr>
              <w:t xml:space="preserve">Totodată, se propune completarea alin.(2) al art.548 din Ordonanța de urgență a Guvernului nr. 57/2019 privind Codul administrativ, referitor la eliberarea din funcție a persoanelor din cadrul cabinetului demnitarului, </w:t>
            </w:r>
            <w:r w:rsidRPr="00461C3A">
              <w:rPr>
                <w:sz w:val="24"/>
                <w:szCs w:val="24"/>
              </w:rPr>
              <w:lastRenderedPageBreak/>
              <w:t>respectiv ca urmare a acordului părţilor și a desfiinţării postului ocupat de salariat.</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De asemenea se propune ca ministerele și Secretariatul General al Guvernului să supună Guvernului spre adoptare proiectele de acte normative prin care numărul total de posturi de secretar de stat, subsecretar de stat și de funcții asimilate funcțiilor de secretar de stat și subsecretar de stat la nivelul tuturor ministerelor, precum şi a celorlalte instituţii şi autorităţi publice din subordinea/coordonarea Guvernului sau a ministerelor se va reduce cu 50%.</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Se propune modificarea art. 13 alin. (1) din Ordonanța de urgență a Guvernului nr.28/2013, în sensul că Ministerul Dezvoltării Regionale şi Administraţiei Publice este responsabil de programarea, coordonarea şi utilizarea fondurilor alocate de la bugetul de stat pentru implementarea proiectelor de investiţii din Programul naţional de dezvoltare locală.</w:t>
            </w:r>
            <w:r w:rsidRPr="00461C3A">
              <w:rPr>
                <w:sz w:val="24"/>
                <w:szCs w:val="24"/>
              </w:rPr>
              <w:tab/>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 xml:space="preserve">La data intrării în vigoare a prezentei ordonanţe se suspendă ocuparea prin concurs sau examen a posturilor vacante sau temporar vacante din instituţiile şi autorităţile publice, astfel cum sunt definite la art. 2 alin. (1) pct. 30 din Legea nr. 500/2002, cu modificările şi completările ulterioare și la art. 2 alin. (1) pct. 39 din Legea nr. 273/2006 privind finanţele publice locale, cu modificările şi completările ulterioare. </w:t>
            </w:r>
          </w:p>
          <w:p w:rsidR="004F1081" w:rsidRPr="00461C3A" w:rsidRDefault="00350CB2">
            <w:pPr>
              <w:ind w:left="142" w:right="142" w:firstLine="567"/>
              <w:jc w:val="both"/>
            </w:pPr>
            <w:r w:rsidRPr="00461C3A">
              <w:rPr>
                <w:sz w:val="24"/>
                <w:szCs w:val="24"/>
              </w:rPr>
              <w:t>Pentru posturile pentru care au fost demarate procedurile de organizare a concursurilor anterior intrării în vigoare a prezentei ordonanţe a Guvernului se continuă procedurile de ocupare a acestora, conform prevederilor în vigoare la acea dată.</w:t>
            </w:r>
          </w:p>
          <w:p w:rsidR="004F1081" w:rsidRPr="00461C3A" w:rsidRDefault="00350CB2">
            <w:pPr>
              <w:ind w:left="142" w:right="142" w:firstLine="567"/>
              <w:jc w:val="both"/>
            </w:pPr>
            <w:r w:rsidRPr="00461C3A">
              <w:rPr>
                <w:sz w:val="24"/>
                <w:szCs w:val="24"/>
              </w:rPr>
              <w:t>După data intrării în vigoare a prezentei ordonanțe, ordonatorii de credite pot ocupa prin concurs sau examen posturi conform principiului: ”unu la trei” din totalul posturilor ce se vor vacanta, respectiv la trei posturi ocupate devenite vacante, un post ocupat.</w:t>
            </w:r>
          </w:p>
          <w:p w:rsidR="004F1081" w:rsidRPr="00461C3A" w:rsidRDefault="00350CB2">
            <w:pPr>
              <w:ind w:left="142" w:right="142" w:firstLine="567"/>
              <w:jc w:val="both"/>
            </w:pPr>
            <w:r w:rsidRPr="00461C3A">
              <w:rPr>
                <w:sz w:val="24"/>
                <w:szCs w:val="24"/>
              </w:rPr>
              <w:t>Prin excepţie, se pot organiza concursuri sau examene pentru:</w:t>
            </w:r>
          </w:p>
          <w:p w:rsidR="004F1081" w:rsidRPr="00461C3A" w:rsidRDefault="00350CB2">
            <w:pPr>
              <w:ind w:left="142" w:right="142" w:firstLine="567"/>
              <w:jc w:val="both"/>
            </w:pPr>
            <w:r w:rsidRPr="00461C3A">
              <w:rPr>
                <w:sz w:val="24"/>
                <w:szCs w:val="24"/>
              </w:rPr>
              <w:t>- ocuparea posturilor vacante sau temporar vacante de personal didactic de predare;</w:t>
            </w:r>
          </w:p>
          <w:p w:rsidR="004F1081" w:rsidRPr="00461C3A" w:rsidRDefault="00350CB2">
            <w:pPr>
              <w:ind w:left="142" w:right="142" w:firstLine="567"/>
              <w:jc w:val="both"/>
            </w:pPr>
            <w:r w:rsidRPr="00461C3A">
              <w:rPr>
                <w:sz w:val="24"/>
                <w:szCs w:val="24"/>
              </w:rPr>
              <w:t>- ocuparea posturilor vacante sau temporar vacante de personal medico-sanitar;</w:t>
            </w:r>
          </w:p>
          <w:p w:rsidR="004F1081" w:rsidRPr="00461C3A" w:rsidRDefault="00350CB2">
            <w:pPr>
              <w:ind w:left="142" w:right="142" w:firstLine="567"/>
              <w:jc w:val="both"/>
            </w:pPr>
            <w:r w:rsidRPr="00461C3A">
              <w:rPr>
                <w:sz w:val="24"/>
                <w:szCs w:val="24"/>
              </w:rPr>
              <w:tab/>
              <w:t>- posturile vacante necesare încadrării, în condiţiile legii, a promoţiei de ofiţeri, subofiţeri, agenţi de poliţie, maiştri militari, funcţionari publici cu statut special din anul 2019;</w:t>
            </w:r>
          </w:p>
          <w:p w:rsidR="004F1081" w:rsidRPr="00461C3A" w:rsidRDefault="00350CB2">
            <w:pPr>
              <w:ind w:left="142" w:right="142" w:firstLine="567"/>
              <w:jc w:val="both"/>
            </w:pPr>
            <w:r w:rsidRPr="00461C3A">
              <w:rPr>
                <w:sz w:val="24"/>
                <w:szCs w:val="24"/>
              </w:rPr>
              <w:t>- posturile vacante necesare încadrării promoţiei 2019 a Institutului Național al Magistraturii.</w:t>
            </w:r>
          </w:p>
          <w:p w:rsidR="004F1081" w:rsidRPr="00461C3A" w:rsidRDefault="004F1081">
            <w:pPr>
              <w:jc w:val="both"/>
              <w:rPr>
                <w:sz w:val="24"/>
                <w:szCs w:val="24"/>
              </w:rPr>
            </w:pPr>
          </w:p>
          <w:p w:rsidR="004F1081" w:rsidRPr="00461C3A" w:rsidRDefault="00350CB2">
            <w:pPr>
              <w:ind w:left="142" w:right="142" w:firstLine="567"/>
              <w:jc w:val="both"/>
            </w:pPr>
            <w:r w:rsidRPr="00461C3A">
              <w:rPr>
                <w:sz w:val="24"/>
                <w:szCs w:val="24"/>
              </w:rPr>
              <w:t>Se propune ca autorităţile şi instituţiile publice, astfel cum sunt definite la art. 2 alin. (1) pct. 30 din Legea nr. 500/2002, cu modificările şi completările ulterioare, şi la art. 2 alin. (1) pct. 39 din Legea nr. 273/2006, cu modificările şi completările ulterioare, indiferent de sistemul de finanţare şi de subordonare, inclusiv activităţile finanţate integral din venituri proprii, înfiinţate pe lângă instituţiile publice, să nu poată achiziţiona din fonduri publice servicii de telefonie mobilă pentru personalul angajat, cu excepția demnitarilor.</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 xml:space="preserve">Având în vedere recomandarea auditorilor Curții de Conturi a României privind armonizarea prevederilor Legii-cadru nr. 153/2017, cu modificările și </w:t>
            </w:r>
            <w:r w:rsidRPr="00461C3A">
              <w:rPr>
                <w:sz w:val="24"/>
                <w:szCs w:val="24"/>
              </w:rPr>
              <w:lastRenderedPageBreak/>
              <w:t>completările ulterioare, referitoare la predarea simultană, cu prevederile Legii nr. 1/2011, cu modificările și completările ulterioare, în sensul eliminării obligației de acordare a acestei majorări personalului didactic de predare din învățământul preșcolar, se propune modificarea art. 7 din Anexa I, Capitolul I, lit. B, Reglementări specifice personalului didactic din învățământ din Legea-cadru nr. 153/2017.</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Pentru a crea posibilitatea ca, în momentul înființării unor fonduri suverane de dezvoltare și investiții, contribuția la capitalul social să poată fi constituită din aport în numerar sau aport în numerar si în natură la capitalul social al acestora, este necesară o intervenție legislativă la nivel primar.</w:t>
            </w:r>
          </w:p>
          <w:p w:rsidR="004F1081" w:rsidRPr="00461C3A" w:rsidRDefault="00350CB2">
            <w:pPr>
              <w:ind w:left="142" w:right="142" w:firstLine="567"/>
              <w:jc w:val="both"/>
            </w:pPr>
            <w:r w:rsidRPr="00461C3A">
              <w:rPr>
                <w:sz w:val="24"/>
                <w:szCs w:val="24"/>
              </w:rPr>
              <w:t>Prin această intervenție legislativă se are în vedere facilitarea înființării unor fonduri suverane de dezvoltare și investiții printr-o contribuție inițială la capitalul social constituită doar prin aport în numerar, urmând să poată beneficia și de o majorare a capitalului social inițial prin contribuție în natură, în funcție de strategia fiecărui fond.</w:t>
            </w:r>
          </w:p>
          <w:p w:rsidR="004F1081" w:rsidRPr="00461C3A" w:rsidRDefault="00350CB2">
            <w:pPr>
              <w:ind w:left="142" w:right="142" w:firstLine="567"/>
              <w:jc w:val="both"/>
            </w:pPr>
            <w:r w:rsidRPr="00461C3A">
              <w:rPr>
                <w:sz w:val="24"/>
                <w:szCs w:val="24"/>
              </w:rPr>
              <w:t>Oportunitatea privind stabilirea tipului și valorii contribuției la capitalul social inițial al fiecărui Fond suveran de dezvoltare și investiții revine Guvernului și se stabilește prin hotărâre de Guvern.</w:t>
            </w:r>
          </w:p>
          <w:p w:rsidR="004F1081" w:rsidRPr="00461C3A" w:rsidRDefault="00350CB2">
            <w:pPr>
              <w:ind w:left="142" w:right="142" w:firstLine="567"/>
              <w:jc w:val="both"/>
            </w:pPr>
            <w:r w:rsidRPr="00461C3A">
              <w:rPr>
                <w:sz w:val="24"/>
                <w:szCs w:val="24"/>
              </w:rPr>
              <w:t>Înființarea de fonduri suverane de dezvoltare și investiții se va realiza în măsura în care există resursele financiare necesare acoperirii vărsămintelor în numerar în bugetul autorității publice centrale care va exercita, în numele statului român, drepturile și obligațiile izvorâte din calitatea de acționar unic, cu această destinație și/sau din venituri rezultate din privatizare înregistrate în contul Trezoreriei statului, în măsura în care acestea nu sunt deja angajate ca sursă de finanțare prin alte acte normative.</w:t>
            </w:r>
          </w:p>
          <w:p w:rsidR="004F1081" w:rsidRPr="00461C3A" w:rsidRDefault="00350CB2">
            <w:pPr>
              <w:ind w:left="142" w:right="142" w:firstLine="567"/>
              <w:jc w:val="both"/>
            </w:pPr>
            <w:r w:rsidRPr="00461C3A">
              <w:rPr>
                <w:sz w:val="24"/>
                <w:szCs w:val="24"/>
              </w:rPr>
              <w:t>Astfel se propune modificarea art. 2, litera a) și a art. 4 alin (2), și introducerea unui articol nou, art. 3^1, din Ordonanța de urgență a Guvernului nr.100/2018 pentru reglementarea unor măsuri privind cadrul general aplicabil fondurilor suverane de dezvoltare şi investiţii.</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 xml:space="preserve">Pentru a evita orice alte interpretări legate de faptul că  sumele alocate ar putea fi utilizate exclusiv pentru plata contribuției la capitalul social al Fondului Inițiativei celor trei Mări (FI3M), fără a se lua în calcul că această operațiune poate fi  însoțită însă de o serie de cheltuieli care nu reprezintă contribuție (aport) de capital, se propune completarea Art.12, alineatul (3ˆ1), litera a) din Legea nr. 96/2000 cu mențiunea că fondul prevăzut la art. 10 lit. f) va fi utilizat de Banca de Export-Import a României EXIMBANK - S.A. inclusiv pentru comisioane de transfer al fondurilor din România în Luxemburg, prime de egalizare în cazul unor eventuale majorări ale cotei de participare a României la capitalizarea FI3M, de la echivalentul sumei de 20 milioane EUR aprobată în ședința guvernului din data de 23.05.2019 până la concurența expunerii maxime aprobate. Alte eventuale cheltuieli care nu reprezintă aport la capitalul social al FI3M dar sunt necesare activitatii de participare  la capitalul social al FI3M se vor plati din comisionele percepute de Eximbank pentru activitatea desfasurata in numele si contul statului prevăzute la art. 10, aferente fondurilor menționate la lit. a)-e). </w:t>
            </w:r>
          </w:p>
          <w:p w:rsidR="004F1081" w:rsidRPr="00461C3A" w:rsidRDefault="004F1081">
            <w:pPr>
              <w:ind w:left="142" w:right="142" w:firstLine="567"/>
              <w:jc w:val="both"/>
              <w:rPr>
                <w:sz w:val="24"/>
                <w:szCs w:val="24"/>
              </w:rPr>
            </w:pPr>
          </w:p>
          <w:p w:rsidR="004F1081" w:rsidRPr="00461C3A" w:rsidRDefault="00350CB2">
            <w:pPr>
              <w:ind w:left="142" w:right="142" w:firstLine="567"/>
              <w:jc w:val="both"/>
            </w:pPr>
            <w:r w:rsidRPr="00461C3A">
              <w:rPr>
                <w:sz w:val="24"/>
                <w:szCs w:val="24"/>
              </w:rPr>
              <w:t xml:space="preserve">Totodată, se propune introducerea la art.12, alineatul (3ˆ1) o nouă literă, lit. c), prin care se autorizează Ministerul Finanțelor Publice să vireze Eximbank S.A. echivalentul în lei la cursul BNR valabil la data efectuării plății către Eximbank S.A, a contribuției aferente participării României la </w:t>
            </w:r>
            <w:r w:rsidRPr="00461C3A">
              <w:rPr>
                <w:sz w:val="24"/>
                <w:szCs w:val="24"/>
              </w:rPr>
              <w:lastRenderedPageBreak/>
              <w:t>Fondul de Investiții al Inițiativei Celor Trei Mări plus o marjă de 3% pentru acoperirea unei eventuale diferențe de curs valutar la data efectuării plății la extern de către Eximbank. Diferența în lei rămasă neutilizată de către Eximbank S.A. după efectuarea schimbului valutar pentru plata la extern va fi restituită Ministerului Finanțelor Publice.</w:t>
            </w:r>
          </w:p>
          <w:p w:rsidR="004F1081" w:rsidRPr="00461C3A" w:rsidRDefault="004F1081">
            <w:pPr>
              <w:ind w:left="142" w:right="142" w:firstLine="567"/>
              <w:jc w:val="both"/>
              <w:rPr>
                <w:sz w:val="24"/>
                <w:szCs w:val="24"/>
              </w:rPr>
            </w:pPr>
          </w:p>
          <w:p w:rsidR="004F1081" w:rsidRPr="00461C3A" w:rsidRDefault="00350CB2">
            <w:pPr>
              <w:ind w:left="142" w:right="142" w:firstLine="567"/>
              <w:jc w:val="both"/>
              <w:rPr>
                <w:sz w:val="24"/>
                <w:szCs w:val="24"/>
              </w:rPr>
            </w:pPr>
            <w:r w:rsidRPr="00461C3A">
              <w:rPr>
                <w:sz w:val="24"/>
                <w:szCs w:val="24"/>
              </w:rPr>
              <w:t>Pentru a nu vulnerabiliza interesele statului român în contractul de parteneriat public-privat pentru reconversia funcțională a amplasamentului “Centrul Dâmbovița” și de finalizare a construcțiilor existente, se propune ca Ministerul Dezvoltării Regionale şi Administraţiei Publice să se subroge în drepturile și obligaţiile Ministerului Finanţelor Publice ce decurg din acte normative, contracte, convenţii, înţelegeri, protocoale, memorandumuri şi acorduri în care acesta este parte, în calitate de autoritate publică și în măsura în care acestea se referă la activitatea de parteneriat public-privat.</w:t>
            </w:r>
          </w:p>
          <w:p w:rsidR="009F6D23" w:rsidRPr="00461C3A" w:rsidRDefault="009F6D23">
            <w:pPr>
              <w:ind w:left="142" w:right="142" w:firstLine="567"/>
              <w:jc w:val="both"/>
              <w:rPr>
                <w:sz w:val="24"/>
                <w:szCs w:val="24"/>
              </w:rPr>
            </w:pPr>
          </w:p>
          <w:p w:rsidR="009F6D23" w:rsidRPr="00461C3A" w:rsidRDefault="009F6D23" w:rsidP="009F6D23">
            <w:pPr>
              <w:ind w:left="142" w:right="142" w:firstLine="567"/>
              <w:jc w:val="both"/>
              <w:rPr>
                <w:sz w:val="24"/>
                <w:szCs w:val="24"/>
              </w:rPr>
            </w:pPr>
            <w:r w:rsidRPr="00461C3A">
              <w:rPr>
                <w:sz w:val="24"/>
                <w:szCs w:val="24"/>
              </w:rPr>
              <w:t xml:space="preserve">Pentru a evita materializarea riscului creării de disfuncționalități în activitatea specifică a </w:t>
            </w:r>
            <w:r w:rsidR="008B464C" w:rsidRPr="00461C3A">
              <w:rPr>
                <w:sz w:val="24"/>
                <w:szCs w:val="24"/>
              </w:rPr>
              <w:t>Ministerului Finanțelor Publice</w:t>
            </w:r>
            <w:r w:rsidRPr="00461C3A">
              <w:rPr>
                <w:sz w:val="24"/>
                <w:szCs w:val="24"/>
              </w:rPr>
              <w:t xml:space="preserve">  una dintre prioritățile  de resurse umane este fidelizarea și atragerea de personal calificat în domeniile specifice ministerului, o sarcină dificilă, în condițiile în care nivelul de salarizare este inferior altor instituții publice de la nivelul administrației publice centrale.</w:t>
            </w:r>
          </w:p>
          <w:p w:rsidR="009F6D23" w:rsidRPr="00461C3A" w:rsidRDefault="008F6239">
            <w:pPr>
              <w:ind w:left="142" w:right="142" w:firstLine="567"/>
              <w:jc w:val="both"/>
            </w:pPr>
            <w:r>
              <w:rPr>
                <w:sz w:val="24"/>
                <w:szCs w:val="24"/>
              </w:rPr>
              <w:t>Astfel, se propune ca d</w:t>
            </w:r>
            <w:r w:rsidRPr="00B3289A">
              <w:rPr>
                <w:sz w:val="24"/>
                <w:szCs w:val="24"/>
              </w:rPr>
              <w:t>repturile salariale aferente personalului aparatului propriu al Ministerului Finanțelor Publice și instituțiilor din subordine</w:t>
            </w:r>
            <w:r>
              <w:rPr>
                <w:sz w:val="24"/>
                <w:szCs w:val="24"/>
              </w:rPr>
              <w:t xml:space="preserve"> să</w:t>
            </w:r>
            <w:r w:rsidRPr="00B3289A">
              <w:rPr>
                <w:sz w:val="24"/>
                <w:szCs w:val="24"/>
              </w:rPr>
              <w:t xml:space="preserve"> se recalcule</w:t>
            </w:r>
            <w:r>
              <w:rPr>
                <w:sz w:val="24"/>
                <w:szCs w:val="24"/>
              </w:rPr>
              <w:t>ză</w:t>
            </w:r>
            <w:r w:rsidRPr="00B3289A">
              <w:rPr>
                <w:sz w:val="24"/>
                <w:szCs w:val="24"/>
              </w:rPr>
              <w:t xml:space="preserve"> și se stabile</w:t>
            </w:r>
            <w:r>
              <w:rPr>
                <w:sz w:val="24"/>
                <w:szCs w:val="24"/>
              </w:rPr>
              <w:t>a</w:t>
            </w:r>
            <w:r w:rsidRPr="00B3289A">
              <w:rPr>
                <w:sz w:val="24"/>
                <w:szCs w:val="24"/>
              </w:rPr>
              <w:t>sc</w:t>
            </w:r>
            <w:r>
              <w:rPr>
                <w:sz w:val="24"/>
                <w:szCs w:val="24"/>
              </w:rPr>
              <w:t>ă</w:t>
            </w:r>
            <w:r w:rsidRPr="00B3289A">
              <w:rPr>
                <w:sz w:val="24"/>
                <w:szCs w:val="24"/>
              </w:rPr>
              <w:t>, prin derogare de la art. 34 alin. (2) din Ordonanța de urgență a Guvernului nr.114/2018 privind instituirea unor măsuri în domeniul investiţiilor publice şi a unor măsuri fiscal-bugetare, modificarea şi completarea unor acte normative şi prorogarea unor termene, cu completările ulterioare, cu respectarea prevederilor Legii-cadru nr.153/2017 privind salarizarea personalului plătit din fonduri publice, cu modificările și completările ulterioare, începând cu drepturile salariale aferente lunii următoare intrării în vigoare a prezentei ordonanțe.</w:t>
            </w:r>
          </w:p>
          <w:p w:rsidR="004F1081" w:rsidRPr="00461C3A" w:rsidRDefault="004F1081" w:rsidP="005B05D2">
            <w:pPr>
              <w:ind w:right="142"/>
              <w:jc w:val="both"/>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316"/>
        </w:trPr>
        <w:tc>
          <w:tcPr>
            <w:tcW w:w="267" w:type="dxa"/>
            <w:shd w:val="clear" w:color="auto" w:fill="auto"/>
          </w:tcPr>
          <w:p w:rsidR="004F1081" w:rsidRPr="00461C3A" w:rsidRDefault="004F1081">
            <w:pPr>
              <w:pStyle w:val="TableContents"/>
              <w:snapToGrid w:val="0"/>
              <w:rPr>
                <w:sz w:val="24"/>
                <w:szCs w:val="24"/>
              </w:rPr>
            </w:pPr>
          </w:p>
        </w:tc>
        <w:tc>
          <w:tcPr>
            <w:tcW w:w="2261" w:type="dxa"/>
            <w:tcBorders>
              <w:top w:val="single" w:sz="4" w:space="0" w:color="000001"/>
              <w:left w:val="single" w:sz="4" w:space="0" w:color="000001"/>
              <w:bottom w:val="single" w:sz="4" w:space="0" w:color="000001"/>
            </w:tcBorders>
            <w:shd w:val="clear" w:color="auto" w:fill="auto"/>
            <w:vAlign w:val="center"/>
          </w:tcPr>
          <w:p w:rsidR="004F1081" w:rsidRPr="00461C3A" w:rsidRDefault="00350CB2">
            <w:r w:rsidRPr="00461C3A">
              <w:rPr>
                <w:b/>
                <w:bCs/>
                <w:sz w:val="24"/>
                <w:szCs w:val="24"/>
              </w:rPr>
              <w:t>3. Alte informaţii</w:t>
            </w:r>
          </w:p>
        </w:tc>
        <w:tc>
          <w:tcPr>
            <w:tcW w:w="7896" w:type="dxa"/>
            <w:gridSpan w:val="8"/>
            <w:tcBorders>
              <w:top w:val="single" w:sz="4" w:space="0" w:color="000001"/>
              <w:left w:val="single" w:sz="4" w:space="0" w:color="000001"/>
              <w:bottom w:val="single" w:sz="4" w:space="0" w:color="000001"/>
            </w:tcBorders>
            <w:shd w:val="clear" w:color="auto" w:fill="auto"/>
            <w:vAlign w:val="center"/>
          </w:tcPr>
          <w:p w:rsidR="004F1081" w:rsidRPr="00461C3A" w:rsidRDefault="004F1081">
            <w:pPr>
              <w:pStyle w:val="TableContents"/>
              <w:jc w:val="both"/>
              <w:rPr>
                <w:bCs/>
                <w:sz w:val="24"/>
                <w:szCs w:val="24"/>
              </w:rPr>
            </w:pPr>
          </w:p>
        </w:tc>
        <w:tc>
          <w:tcPr>
            <w:tcW w:w="2778" w:type="dxa"/>
            <w:tcBorders>
              <w:left w:val="single" w:sz="4" w:space="0" w:color="000001"/>
            </w:tcBorders>
            <w:shd w:val="clear" w:color="auto" w:fill="auto"/>
          </w:tcPr>
          <w:p w:rsidR="004F1081" w:rsidRPr="00461C3A" w:rsidRDefault="004F1081">
            <w:pPr>
              <w:snapToGrid w:val="0"/>
              <w:rPr>
                <w:bCs/>
                <w:sz w:val="24"/>
                <w:szCs w:val="24"/>
              </w:rPr>
            </w:pPr>
          </w:p>
        </w:tc>
        <w:tc>
          <w:tcPr>
            <w:tcW w:w="30" w:type="dxa"/>
            <w:shd w:val="clear" w:color="auto" w:fill="auto"/>
          </w:tcPr>
          <w:p w:rsidR="004F1081" w:rsidRPr="00461C3A" w:rsidRDefault="004F1081"/>
        </w:tc>
      </w:tr>
      <w:tr w:rsidR="00461C3A" w:rsidRPr="00461C3A" w:rsidTr="00795BF0">
        <w:trPr>
          <w:trHeight w:val="700"/>
        </w:trPr>
        <w:tc>
          <w:tcPr>
            <w:tcW w:w="267" w:type="dxa"/>
            <w:shd w:val="clear" w:color="auto" w:fill="auto"/>
          </w:tcPr>
          <w:p w:rsidR="004F1081" w:rsidRPr="00461C3A" w:rsidRDefault="004F1081">
            <w:pPr>
              <w:pStyle w:val="TableContents"/>
              <w:snapToGrid w:val="0"/>
              <w:rPr>
                <w:sz w:val="24"/>
                <w:szCs w:val="24"/>
              </w:rPr>
            </w:pPr>
          </w:p>
        </w:tc>
        <w:tc>
          <w:tcPr>
            <w:tcW w:w="10157" w:type="dxa"/>
            <w:gridSpan w:val="9"/>
            <w:tcBorders>
              <w:top w:val="single" w:sz="4" w:space="0" w:color="000001"/>
              <w:left w:val="single" w:sz="4" w:space="0" w:color="000001"/>
            </w:tcBorders>
            <w:shd w:val="clear" w:color="auto" w:fill="auto"/>
            <w:vAlign w:val="center"/>
          </w:tcPr>
          <w:p w:rsidR="004F1081" w:rsidRPr="00461C3A" w:rsidRDefault="004F1081">
            <w:pPr>
              <w:jc w:val="center"/>
              <w:rPr>
                <w:b/>
                <w:bCs/>
                <w:sz w:val="24"/>
                <w:szCs w:val="24"/>
              </w:rPr>
            </w:pPr>
          </w:p>
          <w:p w:rsidR="004F1081" w:rsidRPr="00461C3A" w:rsidRDefault="00350CB2">
            <w:pPr>
              <w:jc w:val="center"/>
            </w:pPr>
            <w:r w:rsidRPr="00461C3A">
              <w:rPr>
                <w:b/>
                <w:bCs/>
                <w:sz w:val="24"/>
                <w:szCs w:val="24"/>
              </w:rPr>
              <w:t>Secţiunea a 3-a</w:t>
            </w:r>
          </w:p>
          <w:p w:rsidR="004F1081" w:rsidRPr="00461C3A" w:rsidRDefault="00350CB2">
            <w:pPr>
              <w:jc w:val="center"/>
            </w:pPr>
            <w:r w:rsidRPr="00461C3A">
              <w:rPr>
                <w:b/>
                <w:bCs/>
                <w:sz w:val="24"/>
                <w:szCs w:val="24"/>
              </w:rPr>
              <w:t>Impactul socioeconomic al proiectului de act normativ</w:t>
            </w:r>
          </w:p>
          <w:p w:rsidR="004F1081" w:rsidRPr="00461C3A" w:rsidRDefault="004F1081">
            <w:pPr>
              <w:jc w:val="center"/>
              <w:rPr>
                <w:b/>
                <w:bCs/>
                <w:sz w:val="24"/>
                <w:szCs w:val="24"/>
              </w:rPr>
            </w:pPr>
          </w:p>
        </w:tc>
        <w:tc>
          <w:tcPr>
            <w:tcW w:w="2778" w:type="dxa"/>
            <w:tcBorders>
              <w:left w:val="single" w:sz="4" w:space="0" w:color="000001"/>
            </w:tcBorders>
            <w:shd w:val="clear" w:color="auto" w:fill="auto"/>
          </w:tcPr>
          <w:p w:rsidR="004F1081" w:rsidRPr="00461C3A" w:rsidRDefault="004F1081">
            <w:pPr>
              <w:snapToGrid w:val="0"/>
              <w:rPr>
                <w:b/>
                <w:bCs/>
                <w:sz w:val="24"/>
                <w:szCs w:val="24"/>
              </w:rPr>
            </w:pPr>
          </w:p>
        </w:tc>
        <w:tc>
          <w:tcPr>
            <w:tcW w:w="30" w:type="dxa"/>
            <w:shd w:val="clear" w:color="auto" w:fill="auto"/>
          </w:tcPr>
          <w:p w:rsidR="004F1081" w:rsidRPr="00461C3A" w:rsidRDefault="004F1081"/>
        </w:tc>
      </w:tr>
      <w:tr w:rsidR="00461C3A" w:rsidRPr="00461C3A" w:rsidTr="00795BF0">
        <w:trPr>
          <w:trHeight w:val="477"/>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pPr>
            <w:r w:rsidRPr="00461C3A">
              <w:rPr>
                <w:b/>
                <w:bCs/>
                <w:sz w:val="24"/>
                <w:szCs w:val="24"/>
              </w:rPr>
              <w:t>1. Impactul macroeconomi</w:t>
            </w:r>
            <w:r w:rsidRPr="00461C3A">
              <w:rPr>
                <w:rStyle w:val="CommentReference1"/>
                <w:b/>
                <w:sz w:val="24"/>
                <w:szCs w:val="24"/>
              </w:rPr>
              <w:t>c</w:t>
            </w:r>
          </w:p>
          <w:p w:rsidR="004F1081" w:rsidRPr="00461C3A" w:rsidRDefault="004F1081">
            <w:pPr>
              <w:ind w:left="113" w:right="113"/>
              <w:rPr>
                <w:sz w:val="24"/>
                <w:szCs w:val="24"/>
              </w:rPr>
            </w:pPr>
          </w:p>
        </w:tc>
        <w:tc>
          <w:tcPr>
            <w:tcW w:w="7163" w:type="dxa"/>
            <w:gridSpan w:val="7"/>
            <w:tcBorders>
              <w:top w:val="single" w:sz="4" w:space="0" w:color="000001"/>
              <w:left w:val="single" w:sz="4" w:space="0" w:color="000001"/>
              <w:bottom w:val="single" w:sz="4" w:space="0" w:color="000001"/>
            </w:tcBorders>
            <w:shd w:val="clear" w:color="auto" w:fill="auto"/>
          </w:tcPr>
          <w:p w:rsidR="004F1081" w:rsidRPr="00461C3A" w:rsidRDefault="00350CB2">
            <w:pPr>
              <w:snapToGrid w:val="0"/>
              <w:jc w:val="both"/>
            </w:pPr>
            <w:r w:rsidRPr="00461C3A">
              <w:rPr>
                <w:sz w:val="24"/>
                <w:szCs w:val="24"/>
                <w:lang w:eastAsia="ro-RO"/>
              </w:rPr>
              <w:t>Proiectul de act normativ nu se referă la acest subiect</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883"/>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b/>
                <w:bCs/>
                <w:sz w:val="24"/>
                <w:szCs w:val="24"/>
              </w:rPr>
              <w:t>1</w:t>
            </w:r>
            <w:r w:rsidRPr="00461C3A">
              <w:rPr>
                <w:b/>
                <w:bCs/>
                <w:sz w:val="24"/>
                <w:szCs w:val="24"/>
                <w:vertAlign w:val="superscript"/>
              </w:rPr>
              <w:t>1</w:t>
            </w:r>
            <w:r w:rsidRPr="00461C3A">
              <w:rPr>
                <w:b/>
                <w:bCs/>
                <w:sz w:val="24"/>
                <w:szCs w:val="24"/>
              </w:rPr>
              <w:t xml:space="preserve"> Impactul asupra mediului concurenţial şi domeniului ajutoarelor de stat</w:t>
            </w:r>
          </w:p>
          <w:p w:rsidR="004F1081" w:rsidRPr="00461C3A" w:rsidRDefault="004F1081">
            <w:pPr>
              <w:ind w:left="113" w:right="113"/>
              <w:jc w:val="both"/>
              <w:rPr>
                <w:sz w:val="24"/>
                <w:szCs w:val="24"/>
              </w:rPr>
            </w:pPr>
          </w:p>
        </w:tc>
        <w:tc>
          <w:tcPr>
            <w:tcW w:w="7163" w:type="dxa"/>
            <w:gridSpan w:val="7"/>
            <w:tcBorders>
              <w:top w:val="single" w:sz="4" w:space="0" w:color="000001"/>
              <w:left w:val="single" w:sz="4" w:space="0" w:color="000001"/>
              <w:bottom w:val="single" w:sz="4" w:space="0" w:color="000001"/>
            </w:tcBorders>
            <w:shd w:val="clear" w:color="auto" w:fill="auto"/>
            <w:vAlign w:val="center"/>
          </w:tcPr>
          <w:p w:rsidR="004F1081" w:rsidRPr="00461C3A" w:rsidRDefault="00350CB2">
            <w:pPr>
              <w:snapToGrid w:val="0"/>
              <w:jc w:val="both"/>
            </w:pPr>
            <w:r w:rsidRPr="00461C3A">
              <w:rPr>
                <w:sz w:val="24"/>
                <w:szCs w:val="24"/>
                <w:lang w:eastAsia="ro-RO"/>
              </w:rPr>
              <w:t>Proiectul de act normativ nu se referă la acest subiect</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354"/>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pPr>
            <w:r w:rsidRPr="00461C3A">
              <w:rPr>
                <w:b/>
                <w:bCs/>
                <w:sz w:val="24"/>
                <w:szCs w:val="24"/>
              </w:rPr>
              <w:t>2. Impactul asupra mediului de afaceri</w:t>
            </w:r>
          </w:p>
          <w:p w:rsidR="004F1081" w:rsidRPr="00461C3A" w:rsidRDefault="004F1081">
            <w:pPr>
              <w:ind w:left="113" w:right="113"/>
              <w:rPr>
                <w:sz w:val="24"/>
                <w:szCs w:val="24"/>
              </w:rPr>
            </w:pPr>
          </w:p>
        </w:tc>
        <w:tc>
          <w:tcPr>
            <w:tcW w:w="7163" w:type="dxa"/>
            <w:gridSpan w:val="7"/>
            <w:tcBorders>
              <w:top w:val="single" w:sz="4" w:space="0" w:color="000001"/>
              <w:left w:val="single" w:sz="4" w:space="0" w:color="000001"/>
              <w:bottom w:val="single" w:sz="4" w:space="0" w:color="000001"/>
            </w:tcBorders>
            <w:shd w:val="clear" w:color="auto" w:fill="auto"/>
            <w:vAlign w:val="center"/>
          </w:tcPr>
          <w:p w:rsidR="004F1081" w:rsidRPr="00461C3A" w:rsidRDefault="004F1081">
            <w:pPr>
              <w:jc w:val="both"/>
            </w:pPr>
          </w:p>
          <w:p w:rsidR="004F1081" w:rsidRPr="00461C3A" w:rsidRDefault="004F1081">
            <w:pPr>
              <w:jc w:val="both"/>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354"/>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left w:val="single" w:sz="4" w:space="0" w:color="000001"/>
              <w:bottom w:val="single" w:sz="4" w:space="0" w:color="000001"/>
            </w:tcBorders>
            <w:shd w:val="clear" w:color="auto" w:fill="auto"/>
            <w:vAlign w:val="center"/>
          </w:tcPr>
          <w:p w:rsidR="004F1081" w:rsidRPr="00461C3A" w:rsidRDefault="00350CB2">
            <w:pPr>
              <w:ind w:left="113" w:right="113"/>
            </w:pPr>
            <w:r w:rsidRPr="00461C3A">
              <w:rPr>
                <w:b/>
                <w:bCs/>
                <w:sz w:val="24"/>
                <w:szCs w:val="24"/>
              </w:rPr>
              <w:t>2</w:t>
            </w:r>
            <w:r w:rsidRPr="00461C3A">
              <w:rPr>
                <w:b/>
                <w:bCs/>
                <w:sz w:val="24"/>
                <w:szCs w:val="24"/>
                <w:vertAlign w:val="superscript"/>
              </w:rPr>
              <w:t>1</w:t>
            </w:r>
            <w:r w:rsidRPr="00461C3A">
              <w:rPr>
                <w:b/>
                <w:bCs/>
                <w:sz w:val="24"/>
                <w:szCs w:val="24"/>
              </w:rPr>
              <w:t>. Impactul asupra sarcinilor administrative</w:t>
            </w:r>
          </w:p>
          <w:p w:rsidR="004F1081" w:rsidRPr="00461C3A" w:rsidRDefault="004F1081">
            <w:pPr>
              <w:ind w:left="113" w:right="113"/>
              <w:rPr>
                <w:b/>
                <w:bCs/>
                <w:sz w:val="24"/>
                <w:szCs w:val="24"/>
              </w:rPr>
            </w:pPr>
          </w:p>
        </w:tc>
        <w:tc>
          <w:tcPr>
            <w:tcW w:w="7163" w:type="dxa"/>
            <w:gridSpan w:val="7"/>
            <w:tcBorders>
              <w:left w:val="single" w:sz="4" w:space="0" w:color="000001"/>
              <w:bottom w:val="single" w:sz="4" w:space="0" w:color="000001"/>
            </w:tcBorders>
            <w:shd w:val="clear" w:color="auto" w:fill="auto"/>
            <w:vAlign w:val="center"/>
          </w:tcPr>
          <w:p w:rsidR="004F1081" w:rsidRPr="00461C3A" w:rsidRDefault="00350CB2">
            <w:pPr>
              <w:pStyle w:val="DefaultText"/>
              <w:snapToGrid w:val="0"/>
              <w:jc w:val="both"/>
              <w:rPr>
                <w:lang w:val="fr-BE"/>
              </w:rPr>
            </w:pPr>
            <w:r w:rsidRPr="00461C3A">
              <w:rPr>
                <w:lang w:val="ro-RO" w:eastAsia="ro-RO"/>
              </w:rPr>
              <w:t>Proiectul de act normativ nu se referă la acest subiect</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354"/>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left w:val="single" w:sz="4" w:space="0" w:color="000001"/>
              <w:bottom w:val="single" w:sz="4" w:space="0" w:color="000001"/>
            </w:tcBorders>
            <w:shd w:val="clear" w:color="auto" w:fill="auto"/>
            <w:vAlign w:val="center"/>
          </w:tcPr>
          <w:p w:rsidR="004F1081" w:rsidRPr="00461C3A" w:rsidRDefault="00350CB2">
            <w:pPr>
              <w:ind w:left="113" w:right="113"/>
            </w:pPr>
            <w:r w:rsidRPr="00461C3A">
              <w:rPr>
                <w:b/>
                <w:bCs/>
                <w:sz w:val="24"/>
                <w:szCs w:val="24"/>
              </w:rPr>
              <w:t>2</w:t>
            </w:r>
            <w:r w:rsidRPr="00461C3A">
              <w:rPr>
                <w:b/>
                <w:bCs/>
                <w:sz w:val="24"/>
                <w:szCs w:val="24"/>
                <w:vertAlign w:val="superscript"/>
              </w:rPr>
              <w:t>2</w:t>
            </w:r>
            <w:r w:rsidRPr="00461C3A">
              <w:rPr>
                <w:b/>
                <w:bCs/>
                <w:sz w:val="24"/>
                <w:szCs w:val="24"/>
              </w:rPr>
              <w:t xml:space="preserve">. Impactul asupra </w:t>
            </w:r>
            <w:r w:rsidRPr="00461C3A">
              <w:rPr>
                <w:b/>
                <w:bCs/>
                <w:sz w:val="24"/>
                <w:szCs w:val="24"/>
              </w:rPr>
              <w:lastRenderedPageBreak/>
              <w:t>întreprinderilor mici și mijlocii</w:t>
            </w:r>
          </w:p>
          <w:p w:rsidR="004F1081" w:rsidRPr="00461C3A" w:rsidRDefault="004F1081">
            <w:pPr>
              <w:ind w:left="113" w:right="113"/>
              <w:rPr>
                <w:sz w:val="24"/>
                <w:szCs w:val="24"/>
              </w:rPr>
            </w:pPr>
          </w:p>
        </w:tc>
        <w:tc>
          <w:tcPr>
            <w:tcW w:w="7163" w:type="dxa"/>
            <w:gridSpan w:val="7"/>
            <w:tcBorders>
              <w:left w:val="single" w:sz="4" w:space="0" w:color="000001"/>
              <w:bottom w:val="single" w:sz="4" w:space="0" w:color="000001"/>
            </w:tcBorders>
            <w:shd w:val="clear" w:color="auto" w:fill="auto"/>
            <w:vAlign w:val="center"/>
          </w:tcPr>
          <w:p w:rsidR="004F1081" w:rsidRPr="00461C3A" w:rsidRDefault="00350CB2">
            <w:pPr>
              <w:pStyle w:val="DefaultText"/>
              <w:snapToGrid w:val="0"/>
              <w:jc w:val="both"/>
              <w:rPr>
                <w:lang w:val="fr-BE"/>
              </w:rPr>
            </w:pPr>
            <w:r w:rsidRPr="00461C3A">
              <w:rPr>
                <w:lang w:val="ro-RO" w:eastAsia="ro-RO"/>
              </w:rPr>
              <w:lastRenderedPageBreak/>
              <w:t>Proiectul de act normativ nu se referă la acest subiect</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610"/>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pPr>
            <w:r w:rsidRPr="00461C3A">
              <w:rPr>
                <w:b/>
                <w:bCs/>
                <w:sz w:val="24"/>
                <w:szCs w:val="24"/>
              </w:rPr>
              <w:t>3. Impactul social</w:t>
            </w:r>
          </w:p>
        </w:tc>
        <w:tc>
          <w:tcPr>
            <w:tcW w:w="7163" w:type="dxa"/>
            <w:gridSpan w:val="7"/>
            <w:tcBorders>
              <w:top w:val="single" w:sz="4" w:space="0" w:color="000001"/>
              <w:left w:val="single" w:sz="4" w:space="0" w:color="000001"/>
              <w:bottom w:val="single" w:sz="4" w:space="0" w:color="000001"/>
            </w:tcBorders>
            <w:shd w:val="clear" w:color="auto" w:fill="auto"/>
            <w:vAlign w:val="center"/>
          </w:tcPr>
          <w:p w:rsidR="004F1081" w:rsidRPr="00461C3A" w:rsidRDefault="004F1081">
            <w:pPr>
              <w:pStyle w:val="BodyText"/>
              <w:spacing w:after="0"/>
              <w:jc w:val="both"/>
            </w:pPr>
          </w:p>
          <w:p w:rsidR="004F1081" w:rsidRPr="00461C3A" w:rsidRDefault="004F1081">
            <w:pPr>
              <w:pStyle w:val="DefaultText"/>
              <w:snapToGrid w:val="0"/>
              <w:jc w:val="both"/>
              <w:rPr>
                <w:b/>
                <w:bCs/>
                <w:lang w:val="ro-RO"/>
              </w:rPr>
            </w:pPr>
          </w:p>
        </w:tc>
        <w:tc>
          <w:tcPr>
            <w:tcW w:w="2778" w:type="dxa"/>
            <w:tcBorders>
              <w:left w:val="single" w:sz="4" w:space="0" w:color="000001"/>
            </w:tcBorders>
            <w:shd w:val="clear" w:color="auto" w:fill="auto"/>
          </w:tcPr>
          <w:p w:rsidR="004F1081" w:rsidRPr="00461C3A" w:rsidRDefault="004F1081">
            <w:pPr>
              <w:snapToGrid w:val="0"/>
              <w:rPr>
                <w:b/>
                <w:bCs/>
                <w:sz w:val="24"/>
                <w:szCs w:val="24"/>
              </w:rPr>
            </w:pPr>
          </w:p>
        </w:tc>
        <w:tc>
          <w:tcPr>
            <w:tcW w:w="30" w:type="dxa"/>
            <w:shd w:val="clear" w:color="auto" w:fill="auto"/>
          </w:tcPr>
          <w:p w:rsidR="004F1081" w:rsidRPr="00461C3A" w:rsidRDefault="004F1081"/>
        </w:tc>
      </w:tr>
      <w:tr w:rsidR="00461C3A" w:rsidRPr="00461C3A" w:rsidTr="00795BF0">
        <w:trPr>
          <w:trHeight w:val="238"/>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pPr>
            <w:r w:rsidRPr="00461C3A">
              <w:rPr>
                <w:b/>
                <w:bCs/>
                <w:sz w:val="24"/>
                <w:szCs w:val="24"/>
              </w:rPr>
              <w:t>4. Impactul asupra mediului</w:t>
            </w:r>
          </w:p>
          <w:p w:rsidR="004F1081" w:rsidRPr="00461C3A" w:rsidRDefault="004F1081">
            <w:pPr>
              <w:ind w:left="113" w:right="113"/>
              <w:rPr>
                <w:sz w:val="24"/>
                <w:szCs w:val="24"/>
              </w:rPr>
            </w:pPr>
          </w:p>
        </w:tc>
        <w:tc>
          <w:tcPr>
            <w:tcW w:w="7163" w:type="dxa"/>
            <w:gridSpan w:val="7"/>
            <w:tcBorders>
              <w:top w:val="single" w:sz="4" w:space="0" w:color="000001"/>
              <w:left w:val="single" w:sz="4" w:space="0" w:color="000001"/>
              <w:bottom w:val="single" w:sz="4" w:space="0" w:color="000001"/>
            </w:tcBorders>
            <w:shd w:val="clear" w:color="auto" w:fill="auto"/>
            <w:vAlign w:val="center"/>
          </w:tcPr>
          <w:p w:rsidR="004F1081" w:rsidRPr="00461C3A" w:rsidRDefault="00350CB2">
            <w:pPr>
              <w:pStyle w:val="TableText"/>
              <w:widowControl/>
              <w:snapToGrid w:val="0"/>
              <w:jc w:val="both"/>
              <w:rPr>
                <w:lang w:val="fr-BE"/>
              </w:rPr>
            </w:pPr>
            <w:r w:rsidRPr="00461C3A">
              <w:rPr>
                <w:lang w:val="ro-RO" w:eastAsia="ro-RO"/>
              </w:rPr>
              <w:t>Proiectul de act normativ nu se referă la acest subiect</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237"/>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pPr>
            <w:r w:rsidRPr="00461C3A">
              <w:rPr>
                <w:b/>
                <w:bCs/>
                <w:sz w:val="24"/>
                <w:szCs w:val="24"/>
              </w:rPr>
              <w:t>5. Alte informaţii</w:t>
            </w:r>
          </w:p>
        </w:tc>
        <w:tc>
          <w:tcPr>
            <w:tcW w:w="7163" w:type="dxa"/>
            <w:gridSpan w:val="7"/>
            <w:tcBorders>
              <w:top w:val="single" w:sz="4" w:space="0" w:color="000001"/>
              <w:left w:val="single" w:sz="4" w:space="0" w:color="000001"/>
              <w:bottom w:val="single" w:sz="4" w:space="0" w:color="000001"/>
            </w:tcBorders>
            <w:shd w:val="clear" w:color="auto" w:fill="auto"/>
            <w:vAlign w:val="center"/>
          </w:tcPr>
          <w:p w:rsidR="004F1081" w:rsidRPr="00461C3A" w:rsidRDefault="00350CB2">
            <w:r w:rsidRPr="00461C3A">
              <w:rPr>
                <w:sz w:val="24"/>
                <w:szCs w:val="24"/>
              </w:rPr>
              <w:t>Nu au fost identificate</w:t>
            </w:r>
          </w:p>
          <w:p w:rsidR="004F1081" w:rsidRPr="00461C3A" w:rsidRDefault="004F1081">
            <w:pPr>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926"/>
        </w:trPr>
        <w:tc>
          <w:tcPr>
            <w:tcW w:w="267" w:type="dxa"/>
            <w:shd w:val="clear" w:color="auto" w:fill="auto"/>
          </w:tcPr>
          <w:p w:rsidR="004F1081" w:rsidRPr="00461C3A" w:rsidRDefault="004F1081">
            <w:pPr>
              <w:pStyle w:val="TableContents"/>
              <w:snapToGrid w:val="0"/>
              <w:rPr>
                <w:sz w:val="24"/>
                <w:szCs w:val="24"/>
              </w:rPr>
            </w:pPr>
          </w:p>
        </w:tc>
        <w:tc>
          <w:tcPr>
            <w:tcW w:w="10157" w:type="dxa"/>
            <w:gridSpan w:val="9"/>
            <w:tcBorders>
              <w:top w:val="single" w:sz="4" w:space="0" w:color="000001"/>
              <w:left w:val="single" w:sz="4" w:space="0" w:color="000001"/>
              <w:bottom w:val="single" w:sz="4" w:space="0" w:color="000001"/>
            </w:tcBorders>
            <w:shd w:val="clear" w:color="auto" w:fill="auto"/>
            <w:vAlign w:val="center"/>
          </w:tcPr>
          <w:p w:rsidR="004F1081" w:rsidRPr="00461C3A" w:rsidRDefault="00350CB2">
            <w:pPr>
              <w:jc w:val="center"/>
            </w:pPr>
            <w:r w:rsidRPr="00461C3A">
              <w:rPr>
                <w:b/>
                <w:bCs/>
                <w:sz w:val="24"/>
                <w:szCs w:val="24"/>
              </w:rPr>
              <w:t>Secţiunea a 4-a</w:t>
            </w:r>
          </w:p>
          <w:p w:rsidR="004F1081" w:rsidRPr="00461C3A" w:rsidRDefault="00350CB2" w:rsidP="00381608">
            <w:pPr>
              <w:jc w:val="center"/>
            </w:pPr>
            <w:r w:rsidRPr="00461C3A">
              <w:rPr>
                <w:b/>
                <w:bCs/>
                <w:sz w:val="24"/>
                <w:szCs w:val="24"/>
              </w:rPr>
              <w:t>Impactul financiar asupra bugetului general consolidat, atât pe termen scurt, pentru anul curent, cât şi pe termen lung (pe 5 ani)</w:t>
            </w:r>
          </w:p>
        </w:tc>
        <w:tc>
          <w:tcPr>
            <w:tcW w:w="2778" w:type="dxa"/>
            <w:tcBorders>
              <w:left w:val="single" w:sz="4" w:space="0" w:color="000001"/>
            </w:tcBorders>
            <w:shd w:val="clear" w:color="auto" w:fill="auto"/>
          </w:tcPr>
          <w:p w:rsidR="004F1081" w:rsidRPr="00461C3A" w:rsidRDefault="004F1081">
            <w:pPr>
              <w:snapToGrid w:val="0"/>
              <w:rPr>
                <w:b/>
                <w:bCs/>
                <w:sz w:val="24"/>
                <w:szCs w:val="24"/>
              </w:rPr>
            </w:pPr>
          </w:p>
        </w:tc>
        <w:tc>
          <w:tcPr>
            <w:tcW w:w="30" w:type="dxa"/>
            <w:shd w:val="clear" w:color="auto" w:fill="auto"/>
          </w:tcPr>
          <w:p w:rsidR="004F1081" w:rsidRPr="00461C3A" w:rsidRDefault="004F1081"/>
        </w:tc>
      </w:tr>
      <w:tr w:rsidR="00461C3A" w:rsidRPr="00461C3A" w:rsidTr="00795BF0">
        <w:trPr>
          <w:trHeight w:val="80"/>
        </w:trPr>
        <w:tc>
          <w:tcPr>
            <w:tcW w:w="267" w:type="dxa"/>
            <w:shd w:val="clear" w:color="auto" w:fill="auto"/>
          </w:tcPr>
          <w:p w:rsidR="004F1081" w:rsidRPr="00461C3A" w:rsidRDefault="004F1081">
            <w:pPr>
              <w:pStyle w:val="TableContents"/>
              <w:snapToGrid w:val="0"/>
              <w:rPr>
                <w:sz w:val="24"/>
                <w:szCs w:val="24"/>
              </w:rPr>
            </w:pPr>
          </w:p>
        </w:tc>
        <w:tc>
          <w:tcPr>
            <w:tcW w:w="10157" w:type="dxa"/>
            <w:gridSpan w:val="9"/>
            <w:tcBorders>
              <w:top w:val="single" w:sz="4" w:space="0" w:color="000001"/>
              <w:left w:val="single" w:sz="4" w:space="0" w:color="000001"/>
              <w:bottom w:val="single" w:sz="4" w:space="0" w:color="000001"/>
            </w:tcBorders>
            <w:shd w:val="clear" w:color="auto" w:fill="auto"/>
            <w:vAlign w:val="center"/>
          </w:tcPr>
          <w:p w:rsidR="004F1081" w:rsidRPr="00461C3A" w:rsidRDefault="00350CB2">
            <w:pPr>
              <w:jc w:val="right"/>
            </w:pPr>
            <w:r w:rsidRPr="00461C3A">
              <w:rPr>
                <w:b/>
                <w:sz w:val="24"/>
                <w:szCs w:val="24"/>
              </w:rPr>
              <w:t>- mii. lei</w:t>
            </w:r>
            <w:r w:rsidRPr="00461C3A">
              <w:rPr>
                <w:sz w:val="24"/>
                <w:szCs w:val="24"/>
              </w:rPr>
              <w:t xml:space="preserve"> -</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cantSplit/>
          <w:trHeight w:val="276"/>
        </w:trPr>
        <w:tc>
          <w:tcPr>
            <w:tcW w:w="267" w:type="dxa"/>
            <w:shd w:val="clear" w:color="auto" w:fill="auto"/>
          </w:tcPr>
          <w:p w:rsidR="004F1081" w:rsidRPr="00461C3A" w:rsidRDefault="004F1081">
            <w:pPr>
              <w:pStyle w:val="TableContents"/>
              <w:snapToGrid w:val="0"/>
              <w:rPr>
                <w:sz w:val="24"/>
                <w:szCs w:val="24"/>
              </w:rPr>
            </w:pPr>
          </w:p>
        </w:tc>
        <w:tc>
          <w:tcPr>
            <w:tcW w:w="2994" w:type="dxa"/>
            <w:gridSpan w:val="2"/>
            <w:vMerge w:val="restart"/>
            <w:tcBorders>
              <w:top w:val="single" w:sz="4" w:space="0" w:color="000001"/>
              <w:left w:val="single" w:sz="4" w:space="0" w:color="000001"/>
            </w:tcBorders>
            <w:shd w:val="clear" w:color="auto" w:fill="auto"/>
            <w:vAlign w:val="center"/>
          </w:tcPr>
          <w:p w:rsidR="004F1081" w:rsidRPr="00461C3A" w:rsidRDefault="00350CB2">
            <w:pPr>
              <w:jc w:val="center"/>
            </w:pPr>
            <w:r w:rsidRPr="00461C3A">
              <w:rPr>
                <w:b/>
                <w:bCs/>
                <w:sz w:val="24"/>
                <w:szCs w:val="24"/>
              </w:rPr>
              <w:t>Indicatori</w:t>
            </w:r>
          </w:p>
        </w:tc>
        <w:tc>
          <w:tcPr>
            <w:tcW w:w="1162" w:type="dxa"/>
            <w:vMerge w:val="restart"/>
            <w:tcBorders>
              <w:top w:val="single" w:sz="4" w:space="0" w:color="000001"/>
              <w:left w:val="single" w:sz="4" w:space="0" w:color="000001"/>
            </w:tcBorders>
            <w:shd w:val="clear" w:color="auto" w:fill="auto"/>
            <w:vAlign w:val="center"/>
          </w:tcPr>
          <w:p w:rsidR="004F1081" w:rsidRPr="00461C3A" w:rsidRDefault="00350CB2">
            <w:pPr>
              <w:jc w:val="center"/>
            </w:pPr>
            <w:r w:rsidRPr="00461C3A">
              <w:rPr>
                <w:b/>
                <w:bCs/>
                <w:sz w:val="24"/>
                <w:szCs w:val="24"/>
              </w:rPr>
              <w:t xml:space="preserve">Anul curent (impact pe 4 luni) </w:t>
            </w:r>
          </w:p>
        </w:tc>
        <w:tc>
          <w:tcPr>
            <w:tcW w:w="4368" w:type="dxa"/>
            <w:gridSpan w:val="5"/>
            <w:tcBorders>
              <w:top w:val="single" w:sz="4" w:space="0" w:color="000001"/>
              <w:left w:val="single" w:sz="4" w:space="0" w:color="000001"/>
              <w:bottom w:val="single" w:sz="4" w:space="0" w:color="00000A"/>
            </w:tcBorders>
            <w:shd w:val="clear" w:color="auto" w:fill="auto"/>
            <w:vAlign w:val="center"/>
          </w:tcPr>
          <w:p w:rsidR="004F1081" w:rsidRPr="00461C3A" w:rsidRDefault="004F1081">
            <w:pPr>
              <w:snapToGrid w:val="0"/>
              <w:jc w:val="center"/>
              <w:rPr>
                <w:b/>
                <w:bCs/>
                <w:sz w:val="24"/>
                <w:szCs w:val="24"/>
              </w:rPr>
            </w:pPr>
          </w:p>
        </w:tc>
        <w:tc>
          <w:tcPr>
            <w:tcW w:w="1633" w:type="dxa"/>
            <w:tcBorders>
              <w:top w:val="single" w:sz="4" w:space="0" w:color="000001"/>
              <w:left w:val="single" w:sz="4" w:space="0" w:color="000001"/>
              <w:bottom w:val="single" w:sz="4" w:space="0" w:color="00000A"/>
            </w:tcBorders>
            <w:shd w:val="clear" w:color="auto" w:fill="auto"/>
            <w:vAlign w:val="center"/>
          </w:tcPr>
          <w:p w:rsidR="004F1081" w:rsidRPr="00461C3A" w:rsidRDefault="00350CB2">
            <w:pPr>
              <w:jc w:val="center"/>
            </w:pPr>
            <w:r w:rsidRPr="00461C3A">
              <w:rPr>
                <w:b/>
                <w:bCs/>
                <w:sz w:val="24"/>
                <w:szCs w:val="24"/>
              </w:rPr>
              <w:t>Media pe 5 ani</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cantSplit/>
          <w:trHeight w:val="275"/>
        </w:trPr>
        <w:tc>
          <w:tcPr>
            <w:tcW w:w="267" w:type="dxa"/>
            <w:shd w:val="clear" w:color="auto" w:fill="auto"/>
          </w:tcPr>
          <w:p w:rsidR="004F1081" w:rsidRPr="00461C3A" w:rsidRDefault="004F1081">
            <w:pPr>
              <w:pStyle w:val="TableContents"/>
              <w:snapToGrid w:val="0"/>
              <w:rPr>
                <w:sz w:val="24"/>
                <w:szCs w:val="24"/>
              </w:rPr>
            </w:pPr>
          </w:p>
        </w:tc>
        <w:tc>
          <w:tcPr>
            <w:tcW w:w="2994" w:type="dxa"/>
            <w:gridSpan w:val="2"/>
            <w:vMerge/>
            <w:tcBorders>
              <w:left w:val="single" w:sz="4" w:space="0" w:color="000001"/>
              <w:bottom w:val="single" w:sz="4" w:space="0" w:color="000001"/>
            </w:tcBorders>
            <w:shd w:val="clear" w:color="auto" w:fill="auto"/>
            <w:vAlign w:val="center"/>
          </w:tcPr>
          <w:p w:rsidR="004F1081" w:rsidRPr="00461C3A" w:rsidRDefault="004F1081">
            <w:pPr>
              <w:snapToGrid w:val="0"/>
              <w:jc w:val="center"/>
              <w:rPr>
                <w:b/>
                <w:bCs/>
                <w:sz w:val="24"/>
                <w:szCs w:val="24"/>
              </w:rPr>
            </w:pPr>
          </w:p>
        </w:tc>
        <w:tc>
          <w:tcPr>
            <w:tcW w:w="1162" w:type="dxa"/>
            <w:vMerge/>
            <w:tcBorders>
              <w:left w:val="single" w:sz="4" w:space="0" w:color="000001"/>
              <w:bottom w:val="single" w:sz="4" w:space="0" w:color="000001"/>
              <w:right w:val="single" w:sz="4" w:space="0" w:color="00000A"/>
            </w:tcBorders>
            <w:shd w:val="clear" w:color="auto" w:fill="auto"/>
            <w:vAlign w:val="center"/>
          </w:tcPr>
          <w:p w:rsidR="004F1081" w:rsidRPr="00461C3A" w:rsidRDefault="004F1081">
            <w:pPr>
              <w:snapToGrid w:val="0"/>
              <w:jc w:val="center"/>
              <w:rPr>
                <w:b/>
                <w:bCs/>
                <w:sz w:val="24"/>
                <w:szCs w:val="24"/>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1081" w:rsidRPr="00461C3A" w:rsidRDefault="00350CB2">
            <w:pPr>
              <w:jc w:val="center"/>
            </w:pPr>
            <w:r w:rsidRPr="00461C3A">
              <w:rPr>
                <w:b/>
                <w:bCs/>
                <w:sz w:val="24"/>
                <w:szCs w:val="24"/>
              </w:rPr>
              <w:t>2020</w:t>
            </w:r>
          </w:p>
        </w:tc>
        <w:tc>
          <w:tcPr>
            <w:tcW w:w="10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F1081" w:rsidRPr="00461C3A" w:rsidRDefault="00350CB2">
            <w:pPr>
              <w:jc w:val="center"/>
            </w:pPr>
            <w:r w:rsidRPr="00461C3A">
              <w:rPr>
                <w:b/>
                <w:bCs/>
                <w:sz w:val="24"/>
                <w:szCs w:val="24"/>
              </w:rPr>
              <w:t>2021</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1081" w:rsidRPr="00461C3A" w:rsidRDefault="00350CB2">
            <w:pPr>
              <w:jc w:val="center"/>
            </w:pPr>
            <w:r w:rsidRPr="00461C3A">
              <w:rPr>
                <w:b/>
                <w:bCs/>
                <w:sz w:val="24"/>
                <w:szCs w:val="24"/>
              </w:rPr>
              <w:t>2022</w:t>
            </w:r>
          </w:p>
        </w:tc>
        <w:tc>
          <w:tcPr>
            <w:tcW w:w="8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1081" w:rsidRPr="00461C3A" w:rsidRDefault="00350CB2">
            <w:pPr>
              <w:jc w:val="center"/>
            </w:pPr>
            <w:r w:rsidRPr="00461C3A">
              <w:rPr>
                <w:b/>
                <w:bCs/>
                <w:sz w:val="24"/>
                <w:szCs w:val="24"/>
              </w:rPr>
              <w:t>2023</w:t>
            </w:r>
          </w:p>
        </w:tc>
        <w:tc>
          <w:tcPr>
            <w:tcW w:w="16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F1081" w:rsidRPr="00461C3A" w:rsidRDefault="004F1081">
            <w:pPr>
              <w:snapToGrid w:val="0"/>
              <w:jc w:val="center"/>
              <w:rPr>
                <w:b/>
                <w:bCs/>
                <w:sz w:val="24"/>
                <w:szCs w:val="24"/>
              </w:rPr>
            </w:pPr>
          </w:p>
        </w:tc>
        <w:tc>
          <w:tcPr>
            <w:tcW w:w="2778" w:type="dxa"/>
            <w:tcBorders>
              <w:left w:val="single" w:sz="4" w:space="0" w:color="00000A"/>
            </w:tcBorders>
            <w:shd w:val="clear" w:color="auto" w:fill="auto"/>
          </w:tcPr>
          <w:p w:rsidR="004F1081" w:rsidRPr="00461C3A" w:rsidRDefault="004F1081">
            <w:pPr>
              <w:snapToGrid w:val="0"/>
              <w:rPr>
                <w:b/>
                <w:bCs/>
                <w:sz w:val="24"/>
                <w:szCs w:val="24"/>
              </w:rPr>
            </w:pPr>
          </w:p>
        </w:tc>
        <w:tc>
          <w:tcPr>
            <w:tcW w:w="30" w:type="dxa"/>
            <w:shd w:val="clear" w:color="auto" w:fill="auto"/>
          </w:tcPr>
          <w:p w:rsidR="004F1081" w:rsidRPr="00461C3A" w:rsidRDefault="004F1081"/>
        </w:tc>
      </w:tr>
      <w:tr w:rsidR="00461C3A" w:rsidRPr="00461C3A" w:rsidTr="00795BF0">
        <w:trPr>
          <w:trHeight w:val="240"/>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jc w:val="center"/>
            </w:pPr>
            <w:r w:rsidRPr="00461C3A">
              <w:rPr>
                <w:sz w:val="24"/>
                <w:szCs w:val="24"/>
              </w:rPr>
              <w:t>1</w:t>
            </w:r>
          </w:p>
        </w:tc>
        <w:tc>
          <w:tcPr>
            <w:tcW w:w="1162" w:type="dxa"/>
            <w:tcBorders>
              <w:top w:val="single" w:sz="4" w:space="0" w:color="000001"/>
              <w:left w:val="single" w:sz="4" w:space="0" w:color="000001"/>
              <w:bottom w:val="single" w:sz="4" w:space="0" w:color="000001"/>
            </w:tcBorders>
            <w:shd w:val="clear" w:color="auto" w:fill="auto"/>
            <w:vAlign w:val="center"/>
          </w:tcPr>
          <w:p w:rsidR="004F1081" w:rsidRPr="00461C3A" w:rsidRDefault="00350CB2">
            <w:pPr>
              <w:jc w:val="center"/>
            </w:pPr>
            <w:r w:rsidRPr="00461C3A">
              <w:rPr>
                <w:sz w:val="24"/>
                <w:szCs w:val="24"/>
              </w:rPr>
              <w:t>2</w:t>
            </w:r>
          </w:p>
        </w:tc>
        <w:tc>
          <w:tcPr>
            <w:tcW w:w="1391" w:type="dxa"/>
            <w:tcBorders>
              <w:top w:val="single" w:sz="4" w:space="0" w:color="00000A"/>
              <w:left w:val="single" w:sz="4" w:space="0" w:color="000001"/>
              <w:bottom w:val="single" w:sz="4" w:space="0" w:color="000001"/>
            </w:tcBorders>
            <w:shd w:val="clear" w:color="auto" w:fill="auto"/>
            <w:vAlign w:val="center"/>
          </w:tcPr>
          <w:p w:rsidR="004F1081" w:rsidRPr="00461C3A" w:rsidRDefault="00350CB2">
            <w:pPr>
              <w:jc w:val="center"/>
            </w:pPr>
            <w:r w:rsidRPr="00461C3A">
              <w:rPr>
                <w:sz w:val="24"/>
                <w:szCs w:val="24"/>
              </w:rPr>
              <w:t>3</w:t>
            </w:r>
          </w:p>
        </w:tc>
        <w:tc>
          <w:tcPr>
            <w:tcW w:w="1028" w:type="dxa"/>
            <w:gridSpan w:val="2"/>
            <w:tcBorders>
              <w:top w:val="single" w:sz="4" w:space="0" w:color="00000A"/>
              <w:left w:val="single" w:sz="4" w:space="0" w:color="000001"/>
              <w:bottom w:val="single" w:sz="4" w:space="0" w:color="000001"/>
            </w:tcBorders>
            <w:shd w:val="clear" w:color="auto" w:fill="auto"/>
            <w:vAlign w:val="center"/>
          </w:tcPr>
          <w:p w:rsidR="004F1081" w:rsidRPr="00461C3A" w:rsidRDefault="00350CB2">
            <w:pPr>
              <w:jc w:val="center"/>
            </w:pPr>
            <w:r w:rsidRPr="00461C3A">
              <w:rPr>
                <w:sz w:val="24"/>
                <w:szCs w:val="24"/>
              </w:rPr>
              <w:t>4</w:t>
            </w:r>
          </w:p>
        </w:tc>
        <w:tc>
          <w:tcPr>
            <w:tcW w:w="1132" w:type="dxa"/>
            <w:tcBorders>
              <w:top w:val="single" w:sz="4" w:space="0" w:color="00000A"/>
              <w:left w:val="single" w:sz="4" w:space="0" w:color="000001"/>
              <w:bottom w:val="single" w:sz="4" w:space="0" w:color="000001"/>
            </w:tcBorders>
            <w:shd w:val="clear" w:color="auto" w:fill="auto"/>
            <w:vAlign w:val="center"/>
          </w:tcPr>
          <w:p w:rsidR="004F1081" w:rsidRPr="00461C3A" w:rsidRDefault="00350CB2">
            <w:pPr>
              <w:jc w:val="center"/>
            </w:pPr>
            <w:r w:rsidRPr="00461C3A">
              <w:rPr>
                <w:sz w:val="24"/>
                <w:szCs w:val="24"/>
              </w:rPr>
              <w:t>5</w:t>
            </w:r>
          </w:p>
        </w:tc>
        <w:tc>
          <w:tcPr>
            <w:tcW w:w="817" w:type="dxa"/>
            <w:tcBorders>
              <w:top w:val="single" w:sz="4" w:space="0" w:color="00000A"/>
              <w:left w:val="single" w:sz="4" w:space="0" w:color="000001"/>
              <w:bottom w:val="single" w:sz="4" w:space="0" w:color="000001"/>
            </w:tcBorders>
            <w:shd w:val="clear" w:color="auto" w:fill="auto"/>
            <w:vAlign w:val="center"/>
          </w:tcPr>
          <w:p w:rsidR="004F1081" w:rsidRPr="00461C3A" w:rsidRDefault="00350CB2">
            <w:pPr>
              <w:jc w:val="center"/>
            </w:pPr>
            <w:r w:rsidRPr="00461C3A">
              <w:rPr>
                <w:sz w:val="24"/>
                <w:szCs w:val="24"/>
              </w:rPr>
              <w:t>6</w:t>
            </w:r>
          </w:p>
        </w:tc>
        <w:tc>
          <w:tcPr>
            <w:tcW w:w="1633" w:type="dxa"/>
            <w:tcBorders>
              <w:top w:val="single" w:sz="4" w:space="0" w:color="00000A"/>
              <w:left w:val="single" w:sz="4" w:space="0" w:color="000001"/>
              <w:bottom w:val="single" w:sz="4" w:space="0" w:color="000001"/>
            </w:tcBorders>
            <w:shd w:val="clear" w:color="auto" w:fill="auto"/>
            <w:vAlign w:val="center"/>
          </w:tcPr>
          <w:p w:rsidR="004F1081" w:rsidRPr="00461C3A" w:rsidRDefault="00350CB2">
            <w:pPr>
              <w:jc w:val="center"/>
            </w:pPr>
            <w:r w:rsidRPr="00461C3A">
              <w:rPr>
                <w:sz w:val="24"/>
                <w:szCs w:val="24"/>
              </w:rPr>
              <w:t>7</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882"/>
        </w:trPr>
        <w:tc>
          <w:tcPr>
            <w:tcW w:w="267" w:type="dxa"/>
            <w:shd w:val="clear" w:color="auto" w:fill="auto"/>
          </w:tcPr>
          <w:p w:rsidR="00795BF0" w:rsidRPr="00461C3A" w:rsidRDefault="00795BF0" w:rsidP="00795BF0">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ind w:left="113" w:right="113"/>
              <w:jc w:val="both"/>
              <w:rPr>
                <w:b/>
                <w:bCs/>
                <w:sz w:val="24"/>
                <w:szCs w:val="24"/>
              </w:rPr>
            </w:pPr>
          </w:p>
          <w:p w:rsidR="00795BF0" w:rsidRPr="00461C3A" w:rsidRDefault="00795BF0" w:rsidP="00795BF0">
            <w:pPr>
              <w:ind w:left="113" w:right="113"/>
              <w:jc w:val="both"/>
            </w:pPr>
            <w:r w:rsidRPr="00461C3A">
              <w:rPr>
                <w:bCs/>
                <w:sz w:val="24"/>
                <w:szCs w:val="24"/>
              </w:rPr>
              <w:t>1) Modificări ale veniturilor bugetare, plus/minus, din care:</w:t>
            </w:r>
          </w:p>
        </w:tc>
        <w:tc>
          <w:tcPr>
            <w:tcW w:w="116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503.900</w:t>
            </w:r>
          </w:p>
        </w:tc>
        <w:tc>
          <w:tcPr>
            <w:tcW w:w="1391"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699.600</w:t>
            </w: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857.400</w:t>
            </w:r>
          </w:p>
        </w:tc>
        <w:tc>
          <w:tcPr>
            <w:tcW w:w="113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900.300</w:t>
            </w:r>
          </w:p>
        </w:tc>
        <w:tc>
          <w:tcPr>
            <w:tcW w:w="817"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b/>
                <w:bCs/>
                <w:sz w:val="24"/>
                <w:szCs w:val="24"/>
              </w:rPr>
            </w:pPr>
          </w:p>
        </w:tc>
        <w:tc>
          <w:tcPr>
            <w:tcW w:w="2778" w:type="dxa"/>
            <w:tcBorders>
              <w:left w:val="single" w:sz="4" w:space="0" w:color="000001"/>
            </w:tcBorders>
            <w:shd w:val="clear" w:color="auto" w:fill="auto"/>
          </w:tcPr>
          <w:p w:rsidR="00795BF0" w:rsidRPr="00461C3A" w:rsidRDefault="00795BF0" w:rsidP="00795BF0">
            <w:pPr>
              <w:snapToGrid w:val="0"/>
              <w:rPr>
                <w:b/>
                <w:bCs/>
                <w:sz w:val="24"/>
                <w:szCs w:val="24"/>
              </w:rPr>
            </w:pPr>
          </w:p>
        </w:tc>
        <w:tc>
          <w:tcPr>
            <w:tcW w:w="30" w:type="dxa"/>
            <w:shd w:val="clear" w:color="auto" w:fill="auto"/>
          </w:tcPr>
          <w:p w:rsidR="00795BF0" w:rsidRPr="00461C3A" w:rsidRDefault="00795BF0" w:rsidP="00795BF0"/>
        </w:tc>
      </w:tr>
      <w:tr w:rsidR="00461C3A" w:rsidRPr="00461C3A" w:rsidTr="00795BF0">
        <w:trPr>
          <w:trHeight w:val="600"/>
        </w:trPr>
        <w:tc>
          <w:tcPr>
            <w:tcW w:w="267" w:type="dxa"/>
            <w:shd w:val="clear" w:color="auto" w:fill="auto"/>
          </w:tcPr>
          <w:p w:rsidR="00795BF0" w:rsidRPr="00461C3A" w:rsidRDefault="00795BF0" w:rsidP="00795BF0">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ind w:left="113" w:right="113"/>
            </w:pPr>
            <w:r w:rsidRPr="00461C3A">
              <w:rPr>
                <w:sz w:val="24"/>
                <w:szCs w:val="24"/>
              </w:rPr>
              <w:t>a) buget de stat, din acestea:</w:t>
            </w:r>
          </w:p>
        </w:tc>
        <w:tc>
          <w:tcPr>
            <w:tcW w:w="116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481.700</w:t>
            </w:r>
          </w:p>
        </w:tc>
        <w:tc>
          <w:tcPr>
            <w:tcW w:w="1391"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699.600</w:t>
            </w: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857.400</w:t>
            </w:r>
          </w:p>
        </w:tc>
        <w:tc>
          <w:tcPr>
            <w:tcW w:w="113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900.300</w:t>
            </w:r>
          </w:p>
        </w:tc>
        <w:tc>
          <w:tcPr>
            <w:tcW w:w="817"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1633" w:type="dxa"/>
            <w:tcBorders>
              <w:top w:val="single" w:sz="4" w:space="0" w:color="000001"/>
              <w:left w:val="single" w:sz="4" w:space="0" w:color="000001"/>
              <w:bottom w:val="single" w:sz="4" w:space="0" w:color="000001"/>
            </w:tcBorders>
            <w:shd w:val="clear" w:color="auto" w:fill="auto"/>
          </w:tcPr>
          <w:p w:rsidR="00795BF0" w:rsidRPr="00461C3A" w:rsidRDefault="00795BF0" w:rsidP="00795BF0">
            <w:pPr>
              <w:pStyle w:val="DefaultText"/>
              <w:snapToGrid w:val="0"/>
              <w:jc w:val="center"/>
              <w:rPr>
                <w:b/>
                <w:lang w:val="ro-RO"/>
              </w:rPr>
            </w:pPr>
          </w:p>
        </w:tc>
        <w:tc>
          <w:tcPr>
            <w:tcW w:w="2778" w:type="dxa"/>
            <w:tcBorders>
              <w:left w:val="single" w:sz="4" w:space="0" w:color="000001"/>
            </w:tcBorders>
            <w:shd w:val="clear" w:color="auto" w:fill="auto"/>
          </w:tcPr>
          <w:p w:rsidR="00795BF0" w:rsidRPr="00461C3A" w:rsidRDefault="00795BF0" w:rsidP="00795BF0">
            <w:pPr>
              <w:snapToGrid w:val="0"/>
              <w:rPr>
                <w:b/>
                <w:sz w:val="24"/>
                <w:szCs w:val="24"/>
              </w:rPr>
            </w:pPr>
          </w:p>
        </w:tc>
        <w:tc>
          <w:tcPr>
            <w:tcW w:w="30" w:type="dxa"/>
            <w:shd w:val="clear" w:color="auto" w:fill="auto"/>
          </w:tcPr>
          <w:p w:rsidR="00795BF0" w:rsidRPr="00461C3A" w:rsidRDefault="00795BF0" w:rsidP="00795BF0"/>
        </w:tc>
      </w:tr>
      <w:tr w:rsidR="00461C3A" w:rsidRPr="00461C3A" w:rsidTr="00F666E8">
        <w:trPr>
          <w:trHeight w:val="413"/>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sz w:val="24"/>
                <w:szCs w:val="24"/>
              </w:rPr>
              <w:t>(i) impozit pe profit</w:t>
            </w:r>
          </w:p>
        </w:tc>
        <w:tc>
          <w:tcPr>
            <w:tcW w:w="116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391"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13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817"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p w:rsidR="004F1081" w:rsidRPr="00461C3A" w:rsidRDefault="004F1081">
            <w:pPr>
              <w:snapToGrid w:val="0"/>
              <w:rPr>
                <w:sz w:val="24"/>
                <w:szCs w:val="24"/>
              </w:rPr>
            </w:pPr>
          </w:p>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300"/>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sz w:val="24"/>
                <w:szCs w:val="24"/>
              </w:rPr>
              <w:t>(ii) impozit pe veniturile microîntreprinderilor</w:t>
            </w:r>
          </w:p>
        </w:tc>
        <w:tc>
          <w:tcPr>
            <w:tcW w:w="116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391"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13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817"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263"/>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sz w:val="24"/>
                <w:szCs w:val="24"/>
              </w:rPr>
              <w:t>(iii) impozit pe venit</w:t>
            </w:r>
          </w:p>
        </w:tc>
        <w:tc>
          <w:tcPr>
            <w:tcW w:w="116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391"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13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817"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b/>
                <w:sz w:val="24"/>
                <w:szCs w:val="24"/>
              </w:rPr>
            </w:pPr>
          </w:p>
        </w:tc>
        <w:tc>
          <w:tcPr>
            <w:tcW w:w="2778" w:type="dxa"/>
            <w:tcBorders>
              <w:left w:val="single" w:sz="4" w:space="0" w:color="000001"/>
            </w:tcBorders>
            <w:shd w:val="clear" w:color="auto" w:fill="auto"/>
          </w:tcPr>
          <w:p w:rsidR="004F1081" w:rsidRPr="00461C3A" w:rsidRDefault="004F1081">
            <w:pPr>
              <w:snapToGrid w:val="0"/>
              <w:rPr>
                <w:b/>
                <w:sz w:val="24"/>
                <w:szCs w:val="24"/>
              </w:rPr>
            </w:pPr>
          </w:p>
          <w:p w:rsidR="004F1081" w:rsidRPr="00461C3A" w:rsidRDefault="004F1081">
            <w:pPr>
              <w:snapToGrid w:val="0"/>
              <w:rPr>
                <w:b/>
                <w:sz w:val="24"/>
                <w:szCs w:val="24"/>
              </w:rPr>
            </w:pPr>
          </w:p>
        </w:tc>
        <w:tc>
          <w:tcPr>
            <w:tcW w:w="30" w:type="dxa"/>
            <w:shd w:val="clear" w:color="auto" w:fill="auto"/>
          </w:tcPr>
          <w:p w:rsidR="004F1081" w:rsidRPr="00461C3A" w:rsidRDefault="004F1081"/>
        </w:tc>
      </w:tr>
      <w:tr w:rsidR="00461C3A" w:rsidRPr="00461C3A" w:rsidTr="00795BF0">
        <w:trPr>
          <w:trHeight w:val="263"/>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sz w:val="24"/>
                <w:szCs w:val="24"/>
              </w:rPr>
              <w:t>(v) taxa pe valoarea adăugată</w:t>
            </w:r>
          </w:p>
        </w:tc>
        <w:tc>
          <w:tcPr>
            <w:tcW w:w="116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b/>
                <w:sz w:val="24"/>
                <w:szCs w:val="24"/>
              </w:rPr>
            </w:pPr>
          </w:p>
        </w:tc>
        <w:tc>
          <w:tcPr>
            <w:tcW w:w="1391"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13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817"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b/>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b/>
                <w:sz w:val="24"/>
                <w:szCs w:val="24"/>
              </w:rPr>
            </w:pPr>
          </w:p>
        </w:tc>
        <w:tc>
          <w:tcPr>
            <w:tcW w:w="2778" w:type="dxa"/>
            <w:tcBorders>
              <w:left w:val="single" w:sz="4" w:space="0" w:color="000001"/>
            </w:tcBorders>
            <w:shd w:val="clear" w:color="auto" w:fill="auto"/>
          </w:tcPr>
          <w:p w:rsidR="004F1081" w:rsidRPr="00461C3A" w:rsidRDefault="004F1081">
            <w:pPr>
              <w:snapToGrid w:val="0"/>
              <w:rPr>
                <w:b/>
                <w:sz w:val="24"/>
                <w:szCs w:val="24"/>
              </w:rPr>
            </w:pPr>
          </w:p>
        </w:tc>
        <w:tc>
          <w:tcPr>
            <w:tcW w:w="30" w:type="dxa"/>
            <w:shd w:val="clear" w:color="auto" w:fill="auto"/>
          </w:tcPr>
          <w:p w:rsidR="004F1081" w:rsidRPr="00461C3A" w:rsidRDefault="004F1081"/>
        </w:tc>
      </w:tr>
      <w:tr w:rsidR="00461C3A" w:rsidRPr="00461C3A" w:rsidTr="00795BF0">
        <w:trPr>
          <w:trHeight w:val="263"/>
        </w:trPr>
        <w:tc>
          <w:tcPr>
            <w:tcW w:w="267" w:type="dxa"/>
            <w:shd w:val="clear" w:color="auto" w:fill="auto"/>
          </w:tcPr>
          <w:p w:rsidR="00795BF0" w:rsidRPr="00461C3A" w:rsidRDefault="00795BF0" w:rsidP="00795BF0">
            <w:pPr>
              <w:pStyle w:val="TableContents"/>
              <w:snapToGrid w:val="0"/>
              <w:rPr>
                <w:b/>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ind w:left="113" w:right="113"/>
              <w:jc w:val="both"/>
            </w:pPr>
            <w:r w:rsidRPr="00461C3A">
              <w:rPr>
                <w:sz w:val="24"/>
                <w:szCs w:val="24"/>
              </w:rPr>
              <w:t>(vi) accize</w:t>
            </w:r>
          </w:p>
        </w:tc>
        <w:tc>
          <w:tcPr>
            <w:tcW w:w="116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spacing w:line="360" w:lineRule="auto"/>
              <w:jc w:val="center"/>
            </w:pPr>
            <w:r w:rsidRPr="00461C3A">
              <w:rPr>
                <w:sz w:val="24"/>
                <w:szCs w:val="24"/>
              </w:rPr>
              <w:t>479.400</w:t>
            </w:r>
          </w:p>
        </w:tc>
        <w:tc>
          <w:tcPr>
            <w:tcW w:w="1391"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spacing w:line="360" w:lineRule="auto"/>
              <w:jc w:val="center"/>
            </w:pPr>
            <w:r w:rsidRPr="00461C3A">
              <w:rPr>
                <w:sz w:val="24"/>
                <w:szCs w:val="24"/>
              </w:rPr>
              <w:t>699.600</w:t>
            </w: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spacing w:line="360" w:lineRule="auto"/>
              <w:jc w:val="center"/>
            </w:pPr>
            <w:r w:rsidRPr="00461C3A">
              <w:rPr>
                <w:sz w:val="24"/>
                <w:szCs w:val="24"/>
              </w:rPr>
              <w:t>857.400</w:t>
            </w:r>
          </w:p>
        </w:tc>
        <w:tc>
          <w:tcPr>
            <w:tcW w:w="113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spacing w:line="360" w:lineRule="auto"/>
              <w:jc w:val="center"/>
            </w:pPr>
            <w:r w:rsidRPr="00461C3A">
              <w:rPr>
                <w:sz w:val="24"/>
                <w:szCs w:val="24"/>
              </w:rPr>
              <w:t>900.300</w:t>
            </w:r>
          </w:p>
        </w:tc>
        <w:tc>
          <w:tcPr>
            <w:tcW w:w="817"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spacing w:line="360" w:lineRule="auto"/>
              <w:jc w:val="center"/>
            </w:pPr>
          </w:p>
        </w:tc>
        <w:tc>
          <w:tcPr>
            <w:tcW w:w="1633"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spacing w:line="360" w:lineRule="auto"/>
              <w:jc w:val="center"/>
              <w:rPr>
                <w:b/>
                <w:sz w:val="24"/>
                <w:szCs w:val="24"/>
              </w:rPr>
            </w:pPr>
          </w:p>
        </w:tc>
        <w:tc>
          <w:tcPr>
            <w:tcW w:w="2778" w:type="dxa"/>
            <w:tcBorders>
              <w:left w:val="single" w:sz="4" w:space="0" w:color="000001"/>
            </w:tcBorders>
            <w:shd w:val="clear" w:color="auto" w:fill="auto"/>
          </w:tcPr>
          <w:p w:rsidR="00795BF0" w:rsidRPr="00461C3A" w:rsidRDefault="00795BF0" w:rsidP="00795BF0">
            <w:pPr>
              <w:snapToGrid w:val="0"/>
              <w:rPr>
                <w:b/>
                <w:sz w:val="24"/>
                <w:szCs w:val="24"/>
              </w:rPr>
            </w:pPr>
          </w:p>
        </w:tc>
        <w:tc>
          <w:tcPr>
            <w:tcW w:w="30" w:type="dxa"/>
            <w:shd w:val="clear" w:color="auto" w:fill="auto"/>
          </w:tcPr>
          <w:p w:rsidR="00795BF0" w:rsidRPr="00461C3A" w:rsidRDefault="00795BF0" w:rsidP="00795BF0"/>
        </w:tc>
      </w:tr>
      <w:tr w:rsidR="00461C3A" w:rsidRPr="00461C3A" w:rsidTr="00795BF0">
        <w:trPr>
          <w:trHeight w:val="627"/>
        </w:trPr>
        <w:tc>
          <w:tcPr>
            <w:tcW w:w="267" w:type="dxa"/>
            <w:shd w:val="clear" w:color="auto" w:fill="auto"/>
          </w:tcPr>
          <w:p w:rsidR="00795BF0" w:rsidRPr="00461C3A" w:rsidRDefault="00795BF0" w:rsidP="00795BF0">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ind w:left="113" w:right="113"/>
              <w:jc w:val="both"/>
            </w:pPr>
            <w:r w:rsidRPr="00461C3A">
              <w:rPr>
                <w:sz w:val="24"/>
                <w:szCs w:val="24"/>
              </w:rPr>
              <w:t>c) bugetul asigurărilor sociale de stat:</w:t>
            </w:r>
          </w:p>
        </w:tc>
        <w:tc>
          <w:tcPr>
            <w:tcW w:w="116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22.200</w:t>
            </w:r>
          </w:p>
        </w:tc>
        <w:tc>
          <w:tcPr>
            <w:tcW w:w="1391"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b/>
                <w:sz w:val="24"/>
                <w:szCs w:val="24"/>
              </w:rPr>
            </w:pPr>
          </w:p>
        </w:tc>
        <w:tc>
          <w:tcPr>
            <w:tcW w:w="113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b/>
                <w:sz w:val="24"/>
                <w:szCs w:val="24"/>
              </w:rPr>
            </w:pPr>
          </w:p>
        </w:tc>
        <w:tc>
          <w:tcPr>
            <w:tcW w:w="817"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b/>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b/>
                <w:sz w:val="24"/>
                <w:szCs w:val="24"/>
              </w:rPr>
            </w:pPr>
          </w:p>
        </w:tc>
        <w:tc>
          <w:tcPr>
            <w:tcW w:w="2778" w:type="dxa"/>
            <w:tcBorders>
              <w:left w:val="single" w:sz="4" w:space="0" w:color="000001"/>
            </w:tcBorders>
            <w:shd w:val="clear" w:color="auto" w:fill="auto"/>
          </w:tcPr>
          <w:p w:rsidR="00795BF0" w:rsidRPr="00461C3A" w:rsidRDefault="00795BF0" w:rsidP="00795BF0">
            <w:pPr>
              <w:snapToGrid w:val="0"/>
              <w:rPr>
                <w:b/>
                <w:sz w:val="24"/>
                <w:szCs w:val="24"/>
              </w:rPr>
            </w:pPr>
          </w:p>
        </w:tc>
        <w:tc>
          <w:tcPr>
            <w:tcW w:w="30" w:type="dxa"/>
            <w:shd w:val="clear" w:color="auto" w:fill="auto"/>
          </w:tcPr>
          <w:p w:rsidR="00795BF0" w:rsidRPr="00461C3A" w:rsidRDefault="00795BF0" w:rsidP="00795BF0"/>
        </w:tc>
      </w:tr>
      <w:tr w:rsidR="00461C3A" w:rsidRPr="00461C3A" w:rsidTr="00795BF0">
        <w:trPr>
          <w:trHeight w:val="627"/>
        </w:trPr>
        <w:tc>
          <w:tcPr>
            <w:tcW w:w="267" w:type="dxa"/>
            <w:shd w:val="clear" w:color="auto" w:fill="auto"/>
          </w:tcPr>
          <w:p w:rsidR="00795BF0" w:rsidRPr="00461C3A" w:rsidRDefault="00795BF0" w:rsidP="00795BF0">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ind w:left="113" w:right="113"/>
              <w:jc w:val="both"/>
            </w:pPr>
            <w:r w:rsidRPr="00461C3A">
              <w:rPr>
                <w:sz w:val="24"/>
                <w:szCs w:val="24"/>
              </w:rPr>
              <w:t>(i) contribuţii de asigurări sociale</w:t>
            </w:r>
          </w:p>
        </w:tc>
        <w:tc>
          <w:tcPr>
            <w:tcW w:w="116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14.900</w:t>
            </w:r>
          </w:p>
        </w:tc>
        <w:tc>
          <w:tcPr>
            <w:tcW w:w="1391"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b/>
                <w:sz w:val="24"/>
                <w:szCs w:val="24"/>
              </w:rPr>
            </w:pPr>
          </w:p>
        </w:tc>
        <w:tc>
          <w:tcPr>
            <w:tcW w:w="113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b/>
                <w:sz w:val="24"/>
                <w:szCs w:val="24"/>
              </w:rPr>
            </w:pPr>
          </w:p>
        </w:tc>
        <w:tc>
          <w:tcPr>
            <w:tcW w:w="817"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b/>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b/>
                <w:sz w:val="24"/>
                <w:szCs w:val="24"/>
              </w:rPr>
            </w:pPr>
          </w:p>
        </w:tc>
        <w:tc>
          <w:tcPr>
            <w:tcW w:w="2778" w:type="dxa"/>
            <w:tcBorders>
              <w:left w:val="single" w:sz="4" w:space="0" w:color="000001"/>
            </w:tcBorders>
            <w:shd w:val="clear" w:color="auto" w:fill="auto"/>
          </w:tcPr>
          <w:p w:rsidR="00795BF0" w:rsidRPr="00461C3A" w:rsidRDefault="00795BF0" w:rsidP="00795BF0">
            <w:pPr>
              <w:snapToGrid w:val="0"/>
              <w:rPr>
                <w:b/>
                <w:sz w:val="24"/>
                <w:szCs w:val="24"/>
              </w:rPr>
            </w:pPr>
          </w:p>
        </w:tc>
        <w:tc>
          <w:tcPr>
            <w:tcW w:w="30" w:type="dxa"/>
            <w:shd w:val="clear" w:color="auto" w:fill="auto"/>
          </w:tcPr>
          <w:p w:rsidR="00795BF0" w:rsidRPr="00461C3A" w:rsidRDefault="00795BF0" w:rsidP="00795BF0"/>
        </w:tc>
      </w:tr>
      <w:tr w:rsidR="00461C3A" w:rsidRPr="00461C3A" w:rsidTr="00795BF0">
        <w:trPr>
          <w:trHeight w:val="455"/>
        </w:trPr>
        <w:tc>
          <w:tcPr>
            <w:tcW w:w="267" w:type="dxa"/>
            <w:shd w:val="clear" w:color="auto" w:fill="auto"/>
          </w:tcPr>
          <w:p w:rsidR="00795BF0" w:rsidRPr="00461C3A" w:rsidRDefault="00795BF0" w:rsidP="00795BF0">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ind w:left="113" w:right="113"/>
              <w:jc w:val="both"/>
            </w:pPr>
            <w:r w:rsidRPr="00461C3A">
              <w:rPr>
                <w:sz w:val="24"/>
                <w:szCs w:val="24"/>
              </w:rPr>
              <w:t>(ii) contribuţii de asigurări sociale de sănătate</w:t>
            </w:r>
          </w:p>
        </w:tc>
        <w:tc>
          <w:tcPr>
            <w:tcW w:w="116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6.000</w:t>
            </w:r>
          </w:p>
        </w:tc>
        <w:tc>
          <w:tcPr>
            <w:tcW w:w="1391"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113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817"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2778" w:type="dxa"/>
            <w:tcBorders>
              <w:left w:val="single" w:sz="4" w:space="0" w:color="000001"/>
            </w:tcBorders>
            <w:shd w:val="clear" w:color="auto" w:fill="auto"/>
          </w:tcPr>
          <w:p w:rsidR="00795BF0" w:rsidRPr="00461C3A" w:rsidRDefault="00795BF0" w:rsidP="00795BF0">
            <w:pPr>
              <w:snapToGrid w:val="0"/>
              <w:rPr>
                <w:sz w:val="24"/>
                <w:szCs w:val="24"/>
              </w:rPr>
            </w:pPr>
          </w:p>
        </w:tc>
        <w:tc>
          <w:tcPr>
            <w:tcW w:w="30" w:type="dxa"/>
            <w:shd w:val="clear" w:color="auto" w:fill="auto"/>
          </w:tcPr>
          <w:p w:rsidR="00795BF0" w:rsidRPr="00461C3A" w:rsidRDefault="00795BF0" w:rsidP="00795BF0"/>
        </w:tc>
      </w:tr>
      <w:tr w:rsidR="00461C3A" w:rsidRPr="00461C3A" w:rsidTr="00795BF0">
        <w:trPr>
          <w:trHeight w:val="455"/>
        </w:trPr>
        <w:tc>
          <w:tcPr>
            <w:tcW w:w="267" w:type="dxa"/>
            <w:shd w:val="clear" w:color="auto" w:fill="auto"/>
          </w:tcPr>
          <w:p w:rsidR="00795BF0" w:rsidRPr="00461C3A" w:rsidRDefault="00795BF0" w:rsidP="00795BF0">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ind w:left="113" w:right="113"/>
              <w:jc w:val="both"/>
            </w:pPr>
            <w:r w:rsidRPr="00461C3A">
              <w:rPr>
                <w:sz w:val="24"/>
                <w:szCs w:val="24"/>
              </w:rPr>
              <w:t>(iii) contribuția asiguratorie de munca</w:t>
            </w:r>
          </w:p>
        </w:tc>
        <w:tc>
          <w:tcPr>
            <w:tcW w:w="116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pPr>
            <w:r w:rsidRPr="00461C3A">
              <w:rPr>
                <w:sz w:val="24"/>
                <w:szCs w:val="24"/>
              </w:rPr>
              <w:t>1.300</w:t>
            </w:r>
          </w:p>
        </w:tc>
        <w:tc>
          <w:tcPr>
            <w:tcW w:w="1391"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1132"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817"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795BF0" w:rsidRPr="00461C3A" w:rsidRDefault="00795BF0" w:rsidP="00795BF0">
            <w:pPr>
              <w:snapToGrid w:val="0"/>
              <w:jc w:val="center"/>
              <w:rPr>
                <w:sz w:val="24"/>
                <w:szCs w:val="24"/>
              </w:rPr>
            </w:pPr>
          </w:p>
        </w:tc>
        <w:tc>
          <w:tcPr>
            <w:tcW w:w="2778" w:type="dxa"/>
            <w:tcBorders>
              <w:left w:val="single" w:sz="4" w:space="0" w:color="000001"/>
            </w:tcBorders>
            <w:shd w:val="clear" w:color="auto" w:fill="auto"/>
          </w:tcPr>
          <w:p w:rsidR="00795BF0" w:rsidRPr="00461C3A" w:rsidRDefault="00795BF0" w:rsidP="00795BF0">
            <w:pPr>
              <w:snapToGrid w:val="0"/>
              <w:rPr>
                <w:sz w:val="24"/>
                <w:szCs w:val="24"/>
              </w:rPr>
            </w:pPr>
          </w:p>
        </w:tc>
        <w:tc>
          <w:tcPr>
            <w:tcW w:w="30" w:type="dxa"/>
            <w:shd w:val="clear" w:color="auto" w:fill="auto"/>
          </w:tcPr>
          <w:p w:rsidR="00795BF0" w:rsidRPr="00461C3A" w:rsidRDefault="00795BF0" w:rsidP="00795BF0"/>
        </w:tc>
      </w:tr>
      <w:tr w:rsidR="00461C3A" w:rsidRPr="00461C3A" w:rsidTr="00795BF0">
        <w:trPr>
          <w:trHeight w:val="803"/>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bCs/>
                <w:sz w:val="24"/>
                <w:szCs w:val="24"/>
              </w:rPr>
              <w:t>2) Modificări ale cheltuielilor bugetare, plus/minus</w:t>
            </w:r>
          </w:p>
        </w:tc>
        <w:tc>
          <w:tcPr>
            <w:tcW w:w="1162" w:type="dxa"/>
            <w:tcBorders>
              <w:top w:val="single" w:sz="4" w:space="0" w:color="000001"/>
              <w:left w:val="single" w:sz="4" w:space="0" w:color="000001"/>
              <w:bottom w:val="single" w:sz="4" w:space="0" w:color="000001"/>
            </w:tcBorders>
            <w:shd w:val="clear" w:color="auto" w:fill="auto"/>
            <w:vAlign w:val="center"/>
          </w:tcPr>
          <w:p w:rsidR="004F1081" w:rsidRPr="00461C3A" w:rsidRDefault="00350CB2" w:rsidP="00381608">
            <w:pPr>
              <w:snapToGrid w:val="0"/>
              <w:jc w:val="center"/>
            </w:pPr>
            <w:r w:rsidRPr="00461C3A">
              <w:rPr>
                <w:sz w:val="24"/>
                <w:szCs w:val="24"/>
              </w:rPr>
              <w:t>-</w:t>
            </w:r>
            <w:r w:rsidR="009B7684" w:rsidRPr="00461C3A">
              <w:rPr>
                <w:sz w:val="24"/>
                <w:szCs w:val="24"/>
              </w:rPr>
              <w:t>7.083</w:t>
            </w:r>
          </w:p>
        </w:tc>
        <w:tc>
          <w:tcPr>
            <w:tcW w:w="1391" w:type="dxa"/>
            <w:tcBorders>
              <w:top w:val="single" w:sz="4" w:space="0" w:color="000001"/>
              <w:left w:val="single" w:sz="4" w:space="0" w:color="000001"/>
              <w:bottom w:val="single" w:sz="4" w:space="0" w:color="000001"/>
            </w:tcBorders>
            <w:shd w:val="clear" w:color="auto" w:fill="auto"/>
            <w:vAlign w:val="center"/>
          </w:tcPr>
          <w:p w:rsidR="004F1081" w:rsidRPr="00461C3A" w:rsidRDefault="00350CB2" w:rsidP="00381608">
            <w:pPr>
              <w:snapToGrid w:val="0"/>
              <w:jc w:val="center"/>
            </w:pPr>
            <w:r w:rsidRPr="00461C3A">
              <w:rPr>
                <w:sz w:val="24"/>
                <w:szCs w:val="24"/>
              </w:rPr>
              <w:t>-</w:t>
            </w:r>
            <w:r w:rsidR="009B7684" w:rsidRPr="00461C3A">
              <w:rPr>
                <w:sz w:val="24"/>
                <w:szCs w:val="24"/>
              </w:rPr>
              <w:t>97.955</w:t>
            </w: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9B7684">
            <w:pPr>
              <w:snapToGrid w:val="0"/>
              <w:jc w:val="center"/>
            </w:pPr>
            <w:r w:rsidRPr="00461C3A">
              <w:rPr>
                <w:sz w:val="24"/>
                <w:szCs w:val="24"/>
              </w:rPr>
              <w:t>-97.955</w:t>
            </w:r>
          </w:p>
        </w:tc>
        <w:tc>
          <w:tcPr>
            <w:tcW w:w="1132" w:type="dxa"/>
            <w:tcBorders>
              <w:top w:val="single" w:sz="4" w:space="0" w:color="000001"/>
              <w:left w:val="single" w:sz="4" w:space="0" w:color="000001"/>
              <w:bottom w:val="single" w:sz="4" w:space="0" w:color="000001"/>
            </w:tcBorders>
            <w:shd w:val="clear" w:color="auto" w:fill="auto"/>
            <w:vAlign w:val="center"/>
          </w:tcPr>
          <w:p w:rsidR="004F1081" w:rsidRPr="00461C3A" w:rsidRDefault="009B7684">
            <w:pPr>
              <w:snapToGrid w:val="0"/>
              <w:jc w:val="center"/>
            </w:pPr>
            <w:r w:rsidRPr="00461C3A">
              <w:rPr>
                <w:sz w:val="24"/>
                <w:szCs w:val="24"/>
              </w:rPr>
              <w:t>-97.955</w:t>
            </w:r>
          </w:p>
        </w:tc>
        <w:tc>
          <w:tcPr>
            <w:tcW w:w="817"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right"/>
              <w:rPr>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right"/>
              <w:rPr>
                <w:sz w:val="24"/>
                <w:szCs w:val="24"/>
              </w:rPr>
            </w:pPr>
          </w:p>
        </w:tc>
        <w:tc>
          <w:tcPr>
            <w:tcW w:w="2778" w:type="dxa"/>
            <w:tcBorders>
              <w:left w:val="single" w:sz="4" w:space="0" w:color="000001"/>
            </w:tcBorders>
            <w:shd w:val="clear" w:color="auto" w:fill="auto"/>
          </w:tcPr>
          <w:p w:rsidR="004F1081" w:rsidRPr="00461C3A" w:rsidRDefault="004F1081">
            <w:pPr>
              <w:snapToGrid w:val="0"/>
              <w:rPr>
                <w:b/>
                <w:bCs/>
                <w:sz w:val="24"/>
                <w:szCs w:val="24"/>
              </w:rPr>
            </w:pPr>
          </w:p>
        </w:tc>
        <w:tc>
          <w:tcPr>
            <w:tcW w:w="30" w:type="dxa"/>
            <w:shd w:val="clear" w:color="auto" w:fill="auto"/>
          </w:tcPr>
          <w:p w:rsidR="004F1081" w:rsidRPr="00461C3A" w:rsidRDefault="004F1081"/>
        </w:tc>
      </w:tr>
      <w:tr w:rsidR="00461C3A" w:rsidRPr="00461C3A" w:rsidTr="00795BF0">
        <w:trPr>
          <w:trHeight w:val="649"/>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bCs/>
                <w:sz w:val="24"/>
                <w:szCs w:val="24"/>
              </w:rPr>
              <w:t>3)Impact financiar, plus/minus</w:t>
            </w:r>
          </w:p>
        </w:tc>
        <w:tc>
          <w:tcPr>
            <w:tcW w:w="1162" w:type="dxa"/>
            <w:tcBorders>
              <w:top w:val="single" w:sz="4" w:space="0" w:color="000001"/>
              <w:left w:val="single" w:sz="4" w:space="0" w:color="000001"/>
              <w:bottom w:val="single" w:sz="4" w:space="0" w:color="000001"/>
            </w:tcBorders>
            <w:shd w:val="clear" w:color="auto" w:fill="auto"/>
            <w:vAlign w:val="center"/>
          </w:tcPr>
          <w:p w:rsidR="004F1081" w:rsidRPr="00461C3A" w:rsidRDefault="009B7684">
            <w:pPr>
              <w:snapToGrid w:val="0"/>
              <w:jc w:val="center"/>
            </w:pPr>
            <w:r w:rsidRPr="00461C3A">
              <w:rPr>
                <w:b/>
                <w:sz w:val="24"/>
                <w:szCs w:val="24"/>
              </w:rPr>
              <w:t>510.983</w:t>
            </w:r>
          </w:p>
        </w:tc>
        <w:tc>
          <w:tcPr>
            <w:tcW w:w="1391" w:type="dxa"/>
            <w:tcBorders>
              <w:top w:val="single" w:sz="4" w:space="0" w:color="000001"/>
              <w:left w:val="single" w:sz="4" w:space="0" w:color="000001"/>
              <w:bottom w:val="single" w:sz="4" w:space="0" w:color="000001"/>
            </w:tcBorders>
            <w:shd w:val="clear" w:color="auto" w:fill="auto"/>
            <w:vAlign w:val="center"/>
          </w:tcPr>
          <w:p w:rsidR="004F1081" w:rsidRPr="00461C3A" w:rsidRDefault="009B7684" w:rsidP="00381608">
            <w:pPr>
              <w:snapToGrid w:val="0"/>
              <w:jc w:val="center"/>
            </w:pPr>
            <w:r w:rsidRPr="00461C3A">
              <w:rPr>
                <w:b/>
                <w:sz w:val="24"/>
                <w:szCs w:val="24"/>
              </w:rPr>
              <w:t>797.555</w:t>
            </w: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9B7684">
            <w:pPr>
              <w:snapToGrid w:val="0"/>
              <w:jc w:val="center"/>
            </w:pPr>
            <w:r w:rsidRPr="00461C3A">
              <w:rPr>
                <w:b/>
                <w:sz w:val="24"/>
                <w:szCs w:val="24"/>
              </w:rPr>
              <w:t>955.355</w:t>
            </w:r>
          </w:p>
        </w:tc>
        <w:tc>
          <w:tcPr>
            <w:tcW w:w="1132" w:type="dxa"/>
            <w:tcBorders>
              <w:top w:val="single" w:sz="4" w:space="0" w:color="000001"/>
              <w:left w:val="single" w:sz="4" w:space="0" w:color="000001"/>
              <w:bottom w:val="single" w:sz="4" w:space="0" w:color="000001"/>
            </w:tcBorders>
            <w:shd w:val="clear" w:color="auto" w:fill="auto"/>
            <w:vAlign w:val="center"/>
          </w:tcPr>
          <w:p w:rsidR="004F1081" w:rsidRPr="00461C3A" w:rsidRDefault="009B7684">
            <w:pPr>
              <w:snapToGrid w:val="0"/>
              <w:jc w:val="center"/>
            </w:pPr>
            <w:r w:rsidRPr="00461C3A">
              <w:rPr>
                <w:b/>
                <w:sz w:val="24"/>
                <w:szCs w:val="24"/>
              </w:rPr>
              <w:t>998.255</w:t>
            </w:r>
          </w:p>
        </w:tc>
        <w:tc>
          <w:tcPr>
            <w:tcW w:w="817" w:type="dxa"/>
            <w:tcBorders>
              <w:top w:val="single" w:sz="4" w:space="0" w:color="000001"/>
              <w:left w:val="single" w:sz="4" w:space="0" w:color="000001"/>
              <w:bottom w:val="single" w:sz="4" w:space="0" w:color="000001"/>
            </w:tcBorders>
            <w:shd w:val="clear" w:color="auto" w:fill="auto"/>
          </w:tcPr>
          <w:p w:rsidR="004F1081" w:rsidRPr="00461C3A" w:rsidRDefault="004F1081">
            <w:pPr>
              <w:pStyle w:val="DefaultText"/>
              <w:snapToGrid w:val="0"/>
              <w:jc w:val="right"/>
              <w:rPr>
                <w:lang w:val="ro-RO"/>
              </w:rPr>
            </w:pPr>
          </w:p>
        </w:tc>
        <w:tc>
          <w:tcPr>
            <w:tcW w:w="1633"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right"/>
              <w:rPr>
                <w:sz w:val="24"/>
                <w:szCs w:val="24"/>
              </w:rPr>
            </w:pPr>
          </w:p>
        </w:tc>
        <w:tc>
          <w:tcPr>
            <w:tcW w:w="2778" w:type="dxa"/>
            <w:tcBorders>
              <w:left w:val="single" w:sz="4" w:space="0" w:color="000001"/>
            </w:tcBorders>
            <w:shd w:val="clear" w:color="auto" w:fill="auto"/>
          </w:tcPr>
          <w:p w:rsidR="004F1081" w:rsidRPr="00461C3A" w:rsidRDefault="004F1081">
            <w:pPr>
              <w:snapToGrid w:val="0"/>
              <w:rPr>
                <w:b/>
                <w:sz w:val="24"/>
                <w:szCs w:val="24"/>
              </w:rPr>
            </w:pPr>
          </w:p>
        </w:tc>
        <w:tc>
          <w:tcPr>
            <w:tcW w:w="30" w:type="dxa"/>
            <w:shd w:val="clear" w:color="auto" w:fill="auto"/>
          </w:tcPr>
          <w:p w:rsidR="004F1081" w:rsidRPr="00461C3A" w:rsidRDefault="004F1081"/>
        </w:tc>
      </w:tr>
      <w:tr w:rsidR="00461C3A" w:rsidRPr="00461C3A" w:rsidTr="00795BF0">
        <w:trPr>
          <w:trHeight w:val="945"/>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bCs/>
                <w:sz w:val="24"/>
                <w:szCs w:val="24"/>
              </w:rPr>
              <w:t>4)Propuneri pentru acoperirea creşterii cheltuielilor bugetare</w:t>
            </w:r>
          </w:p>
        </w:tc>
        <w:tc>
          <w:tcPr>
            <w:tcW w:w="116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391"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13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817"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945"/>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bCs/>
                <w:sz w:val="24"/>
                <w:szCs w:val="24"/>
              </w:rPr>
              <w:t>5) Propuneri pentru a compensa reducerea veniturilor bugetare</w:t>
            </w:r>
          </w:p>
        </w:tc>
        <w:tc>
          <w:tcPr>
            <w:tcW w:w="116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b/>
                <w:bCs/>
                <w:sz w:val="24"/>
                <w:szCs w:val="24"/>
              </w:rPr>
            </w:pPr>
          </w:p>
        </w:tc>
        <w:tc>
          <w:tcPr>
            <w:tcW w:w="1391"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13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817"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1432"/>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bCs/>
                <w:sz w:val="24"/>
                <w:szCs w:val="24"/>
              </w:rPr>
              <w:t>6) Calcule detaliate privind fundamentarea modificărilor veniturilor şi/sau cheltuielilor bugetare</w:t>
            </w:r>
          </w:p>
        </w:tc>
        <w:tc>
          <w:tcPr>
            <w:tcW w:w="116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391"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028"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132"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817"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1633" w:type="dxa"/>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jc w:val="center"/>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396"/>
        </w:trPr>
        <w:tc>
          <w:tcPr>
            <w:tcW w:w="267" w:type="dxa"/>
            <w:shd w:val="clear" w:color="auto" w:fill="auto"/>
          </w:tcPr>
          <w:p w:rsidR="004F1081" w:rsidRPr="00461C3A" w:rsidRDefault="004F1081">
            <w:pPr>
              <w:pStyle w:val="TableContents"/>
              <w:snapToGrid w:val="0"/>
              <w:rPr>
                <w:sz w:val="24"/>
                <w:szCs w:val="24"/>
              </w:rPr>
            </w:pPr>
          </w:p>
        </w:tc>
        <w:tc>
          <w:tcPr>
            <w:tcW w:w="2994" w:type="dxa"/>
            <w:gridSpan w:val="2"/>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sz w:val="24"/>
                <w:szCs w:val="24"/>
              </w:rPr>
              <w:t>7) Alte informaţii</w:t>
            </w:r>
          </w:p>
        </w:tc>
        <w:tc>
          <w:tcPr>
            <w:tcW w:w="7163" w:type="dxa"/>
            <w:gridSpan w:val="7"/>
            <w:tcBorders>
              <w:top w:val="single" w:sz="4" w:space="0" w:color="000001"/>
              <w:left w:val="single" w:sz="4" w:space="0" w:color="000001"/>
              <w:bottom w:val="single" w:sz="4" w:space="0" w:color="000001"/>
            </w:tcBorders>
            <w:shd w:val="clear" w:color="auto" w:fill="auto"/>
            <w:vAlign w:val="center"/>
          </w:tcPr>
          <w:p w:rsidR="004F1081" w:rsidRPr="00461C3A" w:rsidRDefault="00350CB2">
            <w:pPr>
              <w:snapToGrid w:val="0"/>
              <w:jc w:val="both"/>
            </w:pPr>
            <w:r w:rsidRPr="00461C3A">
              <w:rPr>
                <w:sz w:val="24"/>
                <w:szCs w:val="24"/>
              </w:rPr>
              <w:t>Modificări ale veniturilor bugetare, din care accize:</w:t>
            </w:r>
          </w:p>
          <w:p w:rsidR="004F1081" w:rsidRPr="00461C3A" w:rsidRDefault="00350CB2">
            <w:pPr>
              <w:snapToGrid w:val="0"/>
              <w:jc w:val="both"/>
            </w:pPr>
            <w:r w:rsidRPr="00461C3A">
              <w:rPr>
                <w:sz w:val="24"/>
                <w:szCs w:val="24"/>
              </w:rPr>
              <w:t xml:space="preserve">Pentru anul 2019: </w:t>
            </w:r>
          </w:p>
          <w:p w:rsidR="004F1081" w:rsidRPr="00461C3A" w:rsidRDefault="00350CB2">
            <w:pPr>
              <w:snapToGrid w:val="0"/>
              <w:jc w:val="both"/>
            </w:pPr>
            <w:r w:rsidRPr="00461C3A">
              <w:rPr>
                <w:sz w:val="24"/>
                <w:szCs w:val="24"/>
              </w:rPr>
              <w:t>- creșterea nivelului accizei totale pentru țigarete: + 159.400 mii lei</w:t>
            </w:r>
          </w:p>
          <w:p w:rsidR="004F1081" w:rsidRPr="00461C3A" w:rsidRDefault="00350CB2">
            <w:pPr>
              <w:snapToGrid w:val="0"/>
              <w:jc w:val="both"/>
            </w:pPr>
            <w:r w:rsidRPr="00461C3A">
              <w:rPr>
                <w:sz w:val="24"/>
                <w:szCs w:val="24"/>
              </w:rPr>
              <w:t>- introducerea băuturilor răcoritoare cu un conținut ridicat de zaharuri în sfera produselor supuse accizelor nearmonizate: + 320.000 mii lei</w:t>
            </w:r>
          </w:p>
          <w:p w:rsidR="004F1081" w:rsidRPr="00461C3A" w:rsidRDefault="00350CB2">
            <w:pPr>
              <w:snapToGrid w:val="0"/>
              <w:jc w:val="both"/>
            </w:pPr>
            <w:r w:rsidRPr="00461C3A">
              <w:rPr>
                <w:sz w:val="24"/>
                <w:szCs w:val="24"/>
              </w:rPr>
              <w:t xml:space="preserve">Pentru anul 2020: </w:t>
            </w:r>
          </w:p>
          <w:p w:rsidR="004F1081" w:rsidRPr="00461C3A" w:rsidRDefault="00350CB2">
            <w:pPr>
              <w:snapToGrid w:val="0"/>
              <w:jc w:val="both"/>
            </w:pPr>
            <w:r w:rsidRPr="00461C3A">
              <w:rPr>
                <w:sz w:val="24"/>
                <w:szCs w:val="24"/>
              </w:rPr>
              <w:t>- creșterea nivelului accizei totale pentru țigarete: + 699.600 mii lei</w:t>
            </w:r>
          </w:p>
          <w:p w:rsidR="004F1081" w:rsidRPr="00461C3A" w:rsidRDefault="00350CB2">
            <w:pPr>
              <w:snapToGrid w:val="0"/>
              <w:jc w:val="both"/>
            </w:pPr>
            <w:r w:rsidRPr="00461C3A">
              <w:rPr>
                <w:sz w:val="24"/>
                <w:szCs w:val="24"/>
              </w:rPr>
              <w:t xml:space="preserve">Pentru anul 2021: </w:t>
            </w:r>
          </w:p>
          <w:p w:rsidR="004F1081" w:rsidRPr="00461C3A" w:rsidRDefault="00350CB2">
            <w:pPr>
              <w:snapToGrid w:val="0"/>
              <w:jc w:val="both"/>
            </w:pPr>
            <w:r w:rsidRPr="00461C3A">
              <w:rPr>
                <w:sz w:val="24"/>
                <w:szCs w:val="24"/>
              </w:rPr>
              <w:t>- creșterea nivelului accizei totale pentru țigarete: + 857.400 mii lei</w:t>
            </w:r>
          </w:p>
          <w:p w:rsidR="004F1081" w:rsidRPr="00461C3A" w:rsidRDefault="004F1081">
            <w:pPr>
              <w:snapToGrid w:val="0"/>
              <w:jc w:val="both"/>
              <w:rPr>
                <w:sz w:val="24"/>
                <w:szCs w:val="24"/>
              </w:rPr>
            </w:pPr>
          </w:p>
          <w:p w:rsidR="004F1081" w:rsidRPr="00461C3A" w:rsidRDefault="00350CB2">
            <w:pPr>
              <w:snapToGrid w:val="0"/>
              <w:jc w:val="both"/>
            </w:pPr>
            <w:r w:rsidRPr="00461C3A">
              <w:rPr>
                <w:sz w:val="24"/>
                <w:szCs w:val="24"/>
              </w:rPr>
              <w:t>Modificări ale cheltuielilor bugetare:</w:t>
            </w:r>
          </w:p>
          <w:p w:rsidR="004F1081" w:rsidRPr="00461C3A" w:rsidRDefault="00350CB2">
            <w:pPr>
              <w:snapToGrid w:val="0"/>
              <w:jc w:val="both"/>
            </w:pPr>
            <w:r w:rsidRPr="00461C3A">
              <w:rPr>
                <w:sz w:val="24"/>
                <w:szCs w:val="24"/>
              </w:rPr>
              <w:t xml:space="preserve">  - reducerea numărului de secretari de stat, subsecretari de stat și    asimilații acestora precum și a numărului de posturi din cabinetele demnitarilor : - 7,1 milioane lei în anul 2019 și – 21,3 milioane lei la nivelul unui an bugetar</w:t>
            </w:r>
          </w:p>
          <w:p w:rsidR="004F1081" w:rsidRPr="00461C3A" w:rsidRDefault="00350CB2" w:rsidP="00F666E8">
            <w:pPr>
              <w:snapToGrid w:val="0"/>
              <w:jc w:val="both"/>
            </w:pPr>
            <w:r w:rsidRPr="00461C3A">
              <w:rPr>
                <w:sz w:val="24"/>
                <w:szCs w:val="24"/>
              </w:rPr>
              <w:t>- blocarea ocupării posturilor vacante : - 76,7 milioane lei la nivelul unui an bugetar</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771"/>
        </w:trPr>
        <w:tc>
          <w:tcPr>
            <w:tcW w:w="267" w:type="dxa"/>
            <w:shd w:val="clear" w:color="auto" w:fill="auto"/>
          </w:tcPr>
          <w:p w:rsidR="004F1081" w:rsidRPr="00461C3A" w:rsidRDefault="004F1081">
            <w:pPr>
              <w:pStyle w:val="TableContents"/>
              <w:snapToGrid w:val="0"/>
              <w:rPr>
                <w:sz w:val="24"/>
                <w:szCs w:val="24"/>
              </w:rPr>
            </w:pPr>
          </w:p>
        </w:tc>
        <w:tc>
          <w:tcPr>
            <w:tcW w:w="10157" w:type="dxa"/>
            <w:gridSpan w:val="9"/>
            <w:tcBorders>
              <w:top w:val="single" w:sz="4" w:space="0" w:color="000001"/>
              <w:left w:val="single" w:sz="4" w:space="0" w:color="000001"/>
              <w:bottom w:val="single" w:sz="4" w:space="0" w:color="000001"/>
            </w:tcBorders>
            <w:shd w:val="clear" w:color="auto" w:fill="auto"/>
            <w:vAlign w:val="center"/>
          </w:tcPr>
          <w:p w:rsidR="004F1081" w:rsidRPr="00461C3A" w:rsidRDefault="004F1081">
            <w:pPr>
              <w:jc w:val="center"/>
              <w:rPr>
                <w:b/>
                <w:bCs/>
                <w:sz w:val="24"/>
                <w:szCs w:val="24"/>
              </w:rPr>
            </w:pPr>
          </w:p>
          <w:p w:rsidR="004F1081" w:rsidRPr="00461C3A" w:rsidRDefault="004F1081">
            <w:pPr>
              <w:jc w:val="center"/>
              <w:rPr>
                <w:b/>
                <w:bCs/>
                <w:sz w:val="24"/>
                <w:szCs w:val="24"/>
              </w:rPr>
            </w:pPr>
          </w:p>
          <w:p w:rsidR="004F1081" w:rsidRPr="00461C3A" w:rsidRDefault="00350CB2">
            <w:pPr>
              <w:jc w:val="center"/>
            </w:pPr>
            <w:r w:rsidRPr="00461C3A">
              <w:rPr>
                <w:b/>
                <w:bCs/>
                <w:sz w:val="24"/>
                <w:szCs w:val="24"/>
              </w:rPr>
              <w:t>Secţiunea a 5-a</w:t>
            </w:r>
          </w:p>
          <w:p w:rsidR="004F1081" w:rsidRPr="00461C3A" w:rsidRDefault="00350CB2">
            <w:pPr>
              <w:jc w:val="center"/>
            </w:pPr>
            <w:r w:rsidRPr="00461C3A">
              <w:rPr>
                <w:b/>
                <w:bCs/>
                <w:sz w:val="24"/>
                <w:szCs w:val="24"/>
              </w:rPr>
              <w:t>Efectele proiectului de act normativ asupra legislaţiei în vigoare</w:t>
            </w:r>
          </w:p>
          <w:p w:rsidR="004F1081" w:rsidRPr="00461C3A" w:rsidRDefault="004F1081">
            <w:pPr>
              <w:jc w:val="center"/>
              <w:rPr>
                <w:b/>
                <w:bCs/>
                <w:sz w:val="24"/>
                <w:szCs w:val="24"/>
              </w:rPr>
            </w:pPr>
          </w:p>
          <w:p w:rsidR="004F1081" w:rsidRPr="00461C3A" w:rsidRDefault="004F1081">
            <w:pPr>
              <w:jc w:val="center"/>
              <w:rPr>
                <w:b/>
                <w:bCs/>
                <w:sz w:val="24"/>
                <w:szCs w:val="24"/>
              </w:rPr>
            </w:pPr>
          </w:p>
        </w:tc>
        <w:tc>
          <w:tcPr>
            <w:tcW w:w="2778" w:type="dxa"/>
            <w:tcBorders>
              <w:left w:val="single" w:sz="4" w:space="0" w:color="000001"/>
            </w:tcBorders>
            <w:shd w:val="clear" w:color="auto" w:fill="auto"/>
          </w:tcPr>
          <w:p w:rsidR="004F1081" w:rsidRPr="00461C3A" w:rsidRDefault="004F1081">
            <w:pPr>
              <w:snapToGrid w:val="0"/>
              <w:rPr>
                <w:b/>
                <w:bCs/>
                <w:sz w:val="24"/>
                <w:szCs w:val="24"/>
              </w:rPr>
            </w:pPr>
          </w:p>
        </w:tc>
        <w:tc>
          <w:tcPr>
            <w:tcW w:w="30" w:type="dxa"/>
            <w:shd w:val="clear" w:color="auto" w:fill="auto"/>
          </w:tcPr>
          <w:p w:rsidR="004F1081" w:rsidRPr="00461C3A" w:rsidRDefault="004F1081"/>
        </w:tc>
      </w:tr>
      <w:tr w:rsidR="00461C3A" w:rsidRPr="00461C3A" w:rsidTr="00795BF0">
        <w:trPr>
          <w:trHeight w:val="316"/>
        </w:trPr>
        <w:tc>
          <w:tcPr>
            <w:tcW w:w="267" w:type="dxa"/>
            <w:shd w:val="clear" w:color="auto" w:fill="auto"/>
          </w:tcPr>
          <w:p w:rsidR="004F1081" w:rsidRPr="00461C3A" w:rsidRDefault="004F1081">
            <w:pPr>
              <w:pStyle w:val="TableContents"/>
              <w:snapToGrid w:val="0"/>
              <w:rPr>
                <w:sz w:val="24"/>
                <w:szCs w:val="24"/>
              </w:rPr>
            </w:pPr>
          </w:p>
        </w:tc>
        <w:tc>
          <w:tcPr>
            <w:tcW w:w="5547" w:type="dxa"/>
            <w:gridSpan w:val="4"/>
            <w:tcBorders>
              <w:top w:val="single" w:sz="4" w:space="0" w:color="000001"/>
              <w:left w:val="single" w:sz="4" w:space="0" w:color="000001"/>
              <w:bottom w:val="single" w:sz="4" w:space="0" w:color="000001"/>
            </w:tcBorders>
            <w:shd w:val="clear" w:color="auto" w:fill="auto"/>
          </w:tcPr>
          <w:p w:rsidR="004F1081" w:rsidRPr="00461C3A" w:rsidRDefault="00350CB2">
            <w:pPr>
              <w:ind w:left="113" w:right="113"/>
              <w:jc w:val="both"/>
            </w:pPr>
            <w:r w:rsidRPr="00461C3A">
              <w:rPr>
                <w:iCs/>
                <w:sz w:val="24"/>
                <w:szCs w:val="24"/>
              </w:rPr>
              <w:t>1.</w:t>
            </w:r>
            <w:r w:rsidRPr="00461C3A">
              <w:rPr>
                <w:sz w:val="24"/>
                <w:szCs w:val="24"/>
              </w:rPr>
              <w:t xml:space="preserve"> Măsuri normative necesare pentru aplicarea prevederilor proiectului de act normativ</w:t>
            </w:r>
          </w:p>
          <w:p w:rsidR="004F1081" w:rsidRPr="00461C3A" w:rsidRDefault="00350CB2">
            <w:pPr>
              <w:ind w:left="113" w:right="113"/>
              <w:jc w:val="both"/>
            </w:pPr>
            <w:r w:rsidRPr="00461C3A">
              <w:rPr>
                <w:sz w:val="24"/>
                <w:szCs w:val="24"/>
              </w:rPr>
              <w:t>a) acte normative în vigoare ce vor fi modificate sau abrogate, ca urmare a intrării în vigoare a proiectului de act normativ;</w:t>
            </w:r>
          </w:p>
          <w:p w:rsidR="004F1081" w:rsidRPr="00461C3A" w:rsidRDefault="00350CB2">
            <w:pPr>
              <w:ind w:left="113" w:right="113"/>
              <w:jc w:val="both"/>
            </w:pPr>
            <w:r w:rsidRPr="00461C3A">
              <w:rPr>
                <w:sz w:val="24"/>
                <w:szCs w:val="24"/>
              </w:rPr>
              <w:t>b) acte normative ce urmează a fi elaborate în vederea implementării noilor dispoziţii</w:t>
            </w:r>
          </w:p>
          <w:p w:rsidR="004F1081" w:rsidRPr="00461C3A" w:rsidRDefault="004F1081">
            <w:pPr>
              <w:ind w:left="113" w:right="113"/>
              <w:jc w:val="both"/>
              <w:rPr>
                <w:sz w:val="24"/>
                <w:szCs w:val="24"/>
              </w:rPr>
            </w:pPr>
          </w:p>
        </w:tc>
        <w:tc>
          <w:tcPr>
            <w:tcW w:w="4610" w:type="dxa"/>
            <w:gridSpan w:val="5"/>
            <w:tcBorders>
              <w:top w:val="single" w:sz="4" w:space="0" w:color="000001"/>
              <w:left w:val="single" w:sz="4" w:space="0" w:color="000001"/>
              <w:bottom w:val="single" w:sz="4" w:space="0" w:color="000001"/>
            </w:tcBorders>
            <w:shd w:val="clear" w:color="auto" w:fill="auto"/>
          </w:tcPr>
          <w:p w:rsidR="004F1081" w:rsidRPr="00461C3A" w:rsidRDefault="00350CB2">
            <w:pPr>
              <w:pStyle w:val="TableContents"/>
              <w:ind w:left="113" w:right="113"/>
              <w:jc w:val="both"/>
            </w:pPr>
            <w:r w:rsidRPr="00461C3A">
              <w:rPr>
                <w:sz w:val="24"/>
                <w:szCs w:val="24"/>
              </w:rPr>
              <w:t>a) Prin proiectul de act normativ se intervine asupra următoarelor acte normative:</w:t>
            </w:r>
          </w:p>
          <w:p w:rsidR="004F1081" w:rsidRPr="00461C3A" w:rsidRDefault="00350CB2">
            <w:pPr>
              <w:pStyle w:val="TableContents"/>
              <w:ind w:left="113" w:right="113"/>
              <w:jc w:val="both"/>
            </w:pPr>
            <w:r w:rsidRPr="00461C3A">
              <w:rPr>
                <w:sz w:val="24"/>
                <w:szCs w:val="24"/>
              </w:rPr>
              <w:t>- Legea nr.227/2015 privind Codul fiscal;</w:t>
            </w:r>
          </w:p>
          <w:p w:rsidR="004F1081" w:rsidRPr="00461C3A" w:rsidRDefault="00350CB2">
            <w:pPr>
              <w:pStyle w:val="TableContents"/>
              <w:ind w:left="113" w:right="113"/>
              <w:jc w:val="both"/>
            </w:pPr>
            <w:r w:rsidRPr="00461C3A">
              <w:rPr>
                <w:sz w:val="24"/>
                <w:szCs w:val="24"/>
              </w:rPr>
              <w:t>- Ordonanța de urgență a Guvernului nr. 43/2019 pentru modificarea și completarea unor acte normative care privesc stabilirea unor măsuri în domeniul investițiilor</w:t>
            </w:r>
          </w:p>
          <w:p w:rsidR="004F1081" w:rsidRPr="00461C3A" w:rsidRDefault="00350CB2">
            <w:pPr>
              <w:pStyle w:val="TableContents"/>
              <w:ind w:left="113" w:right="113"/>
              <w:jc w:val="both"/>
            </w:pPr>
            <w:r w:rsidRPr="00461C3A">
              <w:rPr>
                <w:sz w:val="24"/>
                <w:szCs w:val="24"/>
              </w:rPr>
              <w:t>- Ordonanța de urgență a Guvernului nr.57/2019 privind Codul administrativ:</w:t>
            </w:r>
          </w:p>
          <w:p w:rsidR="004F1081" w:rsidRPr="00461C3A" w:rsidRDefault="004F1081" w:rsidP="00381608">
            <w:pPr>
              <w:pStyle w:val="TableContents"/>
              <w:ind w:left="113" w:right="113"/>
              <w:jc w:val="both"/>
            </w:pPr>
          </w:p>
          <w:p w:rsidR="004F1081" w:rsidRPr="00461C3A" w:rsidRDefault="00350CB2">
            <w:pPr>
              <w:pStyle w:val="TableContents"/>
              <w:ind w:left="113" w:right="113"/>
              <w:jc w:val="both"/>
            </w:pPr>
            <w:r w:rsidRPr="00461C3A">
              <w:rPr>
                <w:sz w:val="24"/>
                <w:szCs w:val="24"/>
              </w:rPr>
              <w:t>- Legea-cadru nr.153/2017 privind salarizarea personalului plătit din fonduri publice;</w:t>
            </w:r>
          </w:p>
          <w:p w:rsidR="004F1081" w:rsidRPr="00461C3A" w:rsidRDefault="00350CB2">
            <w:pPr>
              <w:pStyle w:val="TableContents"/>
              <w:ind w:left="113" w:right="113"/>
              <w:jc w:val="both"/>
            </w:pPr>
            <w:r w:rsidRPr="00461C3A">
              <w:rPr>
                <w:sz w:val="24"/>
                <w:szCs w:val="24"/>
              </w:rPr>
              <w:t>- Ordonanța de urgență a Guvernului nr.28/2013 pentru aprobarea Programului național de dezvoltare locală ;</w:t>
            </w:r>
          </w:p>
          <w:p w:rsidR="004F1081" w:rsidRPr="00461C3A" w:rsidRDefault="004F1081">
            <w:pPr>
              <w:pStyle w:val="TableContents"/>
              <w:ind w:left="113" w:right="113"/>
              <w:jc w:val="both"/>
              <w:rPr>
                <w:sz w:val="24"/>
                <w:szCs w:val="24"/>
              </w:rPr>
            </w:pPr>
          </w:p>
          <w:p w:rsidR="004F1081" w:rsidRPr="00461C3A" w:rsidRDefault="00350CB2">
            <w:pPr>
              <w:snapToGrid w:val="0"/>
              <w:ind w:left="89" w:right="180"/>
              <w:jc w:val="both"/>
            </w:pPr>
            <w:r w:rsidRPr="00461C3A">
              <w:rPr>
                <w:bCs/>
                <w:sz w:val="24"/>
                <w:szCs w:val="24"/>
                <w:lang w:eastAsia="en-US"/>
              </w:rPr>
              <w:lastRenderedPageBreak/>
              <w:t>b) În aplicarea dispozițiilor din proiectul de act normativ se vor emite următoarele documente:</w:t>
            </w:r>
          </w:p>
          <w:p w:rsidR="004F1081" w:rsidRPr="00461C3A" w:rsidRDefault="00350CB2">
            <w:pPr>
              <w:snapToGrid w:val="0"/>
              <w:ind w:left="89" w:right="180"/>
              <w:jc w:val="both"/>
            </w:pPr>
            <w:r w:rsidRPr="00461C3A">
              <w:rPr>
                <w:bCs/>
                <w:sz w:val="24"/>
                <w:szCs w:val="24"/>
                <w:lang w:eastAsia="en-US"/>
              </w:rPr>
              <w:t xml:space="preserve">- ordin al ministrului finanțelor publice pentru abrogarea </w:t>
            </w:r>
            <w:r w:rsidRPr="00461C3A">
              <w:rPr>
                <w:sz w:val="24"/>
                <w:szCs w:val="24"/>
              </w:rPr>
              <w:t>, începând cu 1 septembrie 2019, a Ordinului nr.1719/2019;</w:t>
            </w:r>
          </w:p>
          <w:p w:rsidR="004F1081" w:rsidRPr="00461C3A" w:rsidRDefault="00350CB2" w:rsidP="00F666E8">
            <w:pPr>
              <w:snapToGrid w:val="0"/>
              <w:ind w:right="175"/>
              <w:jc w:val="both"/>
            </w:pPr>
            <w:r w:rsidRPr="00461C3A">
              <w:rPr>
                <w:rFonts w:ascii="Times New Roman CE" w:hAnsi="Times New Roman CE"/>
                <w:sz w:val="24"/>
                <w:szCs w:val="24"/>
              </w:rPr>
              <w:t>- acte normative pentru modificarea și completarea actelor normative prin care sunt stabilite numărul de secretari de stat din cadrul ministerelor și al instituțiilor și autorităților publice din subordinea sau coordonarea Guvernului sau a ministerelor.</w:t>
            </w:r>
          </w:p>
        </w:tc>
        <w:tc>
          <w:tcPr>
            <w:tcW w:w="2778" w:type="dxa"/>
            <w:tcBorders>
              <w:left w:val="single" w:sz="4" w:space="0" w:color="000001"/>
            </w:tcBorders>
            <w:shd w:val="clear" w:color="auto" w:fill="auto"/>
          </w:tcPr>
          <w:p w:rsidR="004F1081" w:rsidRPr="00461C3A" w:rsidRDefault="004F1081">
            <w:pPr>
              <w:snapToGrid w:val="0"/>
              <w:rPr>
                <w:sz w:val="24"/>
                <w:szCs w:val="24"/>
                <w:lang w:eastAsia="en-US"/>
              </w:rPr>
            </w:pPr>
          </w:p>
        </w:tc>
        <w:tc>
          <w:tcPr>
            <w:tcW w:w="30" w:type="dxa"/>
            <w:shd w:val="clear" w:color="auto" w:fill="auto"/>
          </w:tcPr>
          <w:p w:rsidR="004F1081" w:rsidRPr="00461C3A" w:rsidRDefault="004F1081"/>
        </w:tc>
      </w:tr>
      <w:tr w:rsidR="00461C3A" w:rsidRPr="00461C3A" w:rsidTr="00795BF0">
        <w:trPr>
          <w:trHeight w:val="316"/>
        </w:trPr>
        <w:tc>
          <w:tcPr>
            <w:tcW w:w="267" w:type="dxa"/>
            <w:shd w:val="clear" w:color="auto" w:fill="auto"/>
          </w:tcPr>
          <w:p w:rsidR="004F1081" w:rsidRPr="00461C3A" w:rsidRDefault="004F1081">
            <w:pPr>
              <w:pStyle w:val="TableContents"/>
              <w:snapToGrid w:val="0"/>
              <w:rPr>
                <w:sz w:val="24"/>
                <w:szCs w:val="24"/>
              </w:rPr>
            </w:pPr>
          </w:p>
        </w:tc>
        <w:tc>
          <w:tcPr>
            <w:tcW w:w="5547" w:type="dxa"/>
            <w:gridSpan w:val="4"/>
            <w:tcBorders>
              <w:top w:val="single" w:sz="4" w:space="0" w:color="000001"/>
              <w:left w:val="single" w:sz="4" w:space="0" w:color="000001"/>
              <w:bottom w:val="single" w:sz="4" w:space="0" w:color="000001"/>
            </w:tcBorders>
            <w:shd w:val="clear" w:color="auto" w:fill="auto"/>
          </w:tcPr>
          <w:p w:rsidR="004F1081" w:rsidRPr="00461C3A" w:rsidRDefault="004F1081">
            <w:pPr>
              <w:ind w:left="113" w:right="113"/>
              <w:jc w:val="both"/>
              <w:rPr>
                <w:iCs/>
                <w:sz w:val="24"/>
                <w:szCs w:val="24"/>
              </w:rPr>
            </w:pPr>
          </w:p>
          <w:p w:rsidR="004F1081" w:rsidRPr="00461C3A" w:rsidRDefault="00350CB2">
            <w:pPr>
              <w:ind w:left="113" w:right="113"/>
              <w:jc w:val="both"/>
            </w:pPr>
            <w:r w:rsidRPr="00461C3A">
              <w:rPr>
                <w:iCs/>
                <w:sz w:val="24"/>
                <w:szCs w:val="24"/>
              </w:rPr>
              <w:t>1</w:t>
            </w:r>
            <w:r w:rsidRPr="00461C3A">
              <w:rPr>
                <w:iCs/>
                <w:sz w:val="24"/>
                <w:szCs w:val="24"/>
                <w:vertAlign w:val="superscript"/>
              </w:rPr>
              <w:t>1</w:t>
            </w:r>
            <w:r w:rsidRPr="00461C3A">
              <w:rPr>
                <w:iCs/>
                <w:sz w:val="24"/>
                <w:szCs w:val="24"/>
              </w:rPr>
              <w:t>) Compatibilitatea proiectului de act normativ cu legislaţia în domeniul achiziţiilor publice:</w:t>
            </w:r>
          </w:p>
          <w:p w:rsidR="004F1081" w:rsidRPr="00461C3A" w:rsidRDefault="00350CB2">
            <w:pPr>
              <w:ind w:left="113" w:right="113"/>
              <w:jc w:val="both"/>
            </w:pPr>
            <w:r w:rsidRPr="00461C3A">
              <w:rPr>
                <w:iCs/>
                <w:sz w:val="24"/>
                <w:szCs w:val="24"/>
              </w:rPr>
              <w:t>a) impact legislativ – prevederi de modificare şi completare a cadrului normativ în domeniul achiziţiilor publice, prevederi derogatorii</w:t>
            </w:r>
          </w:p>
          <w:p w:rsidR="004F1081" w:rsidRPr="00461C3A" w:rsidRDefault="00350CB2">
            <w:pPr>
              <w:ind w:left="113" w:right="113"/>
              <w:jc w:val="both"/>
            </w:pPr>
            <w:r w:rsidRPr="00461C3A">
              <w:rPr>
                <w:iCs/>
                <w:sz w:val="24"/>
                <w:szCs w:val="24"/>
              </w:rPr>
              <w:t>b) norme cu impact la nivel operaţional/tehnic-sisteme electronice utilizate în desfăşurarea procedurilor de achiziţie publică, unităţi centralizate de achiziţii publice, structură organizatorică internă a autorităţilor contractante</w:t>
            </w:r>
          </w:p>
        </w:tc>
        <w:tc>
          <w:tcPr>
            <w:tcW w:w="4610" w:type="dxa"/>
            <w:gridSpan w:val="5"/>
            <w:tcBorders>
              <w:top w:val="single" w:sz="4" w:space="0" w:color="000001"/>
              <w:left w:val="single" w:sz="4" w:space="0" w:color="000001"/>
              <w:bottom w:val="single" w:sz="4" w:space="0" w:color="000001"/>
            </w:tcBorders>
            <w:shd w:val="clear" w:color="auto" w:fill="auto"/>
          </w:tcPr>
          <w:p w:rsidR="004F1081" w:rsidRPr="00461C3A" w:rsidRDefault="00350CB2">
            <w:pPr>
              <w:snapToGrid w:val="0"/>
              <w:ind w:left="113" w:right="113"/>
              <w:jc w:val="both"/>
            </w:pPr>
            <w:r w:rsidRPr="00461C3A">
              <w:rPr>
                <w:sz w:val="24"/>
                <w:szCs w:val="24"/>
                <w:lang w:eastAsia="ro-RO"/>
              </w:rPr>
              <w:t>Proiectul de act normativ nu se referă la acest subiect</w:t>
            </w:r>
          </w:p>
          <w:p w:rsidR="004F1081" w:rsidRPr="00461C3A" w:rsidRDefault="004F1081">
            <w:pPr>
              <w:snapToGrid w:val="0"/>
              <w:ind w:left="113" w:right="113"/>
              <w:jc w:val="both"/>
              <w:rPr>
                <w:b/>
                <w:iCs/>
                <w:sz w:val="24"/>
                <w:szCs w:val="24"/>
                <w:lang w:eastAsia="en-US"/>
              </w:rPr>
            </w:pPr>
          </w:p>
          <w:p w:rsidR="004F1081" w:rsidRPr="00461C3A" w:rsidRDefault="004F1081">
            <w:pPr>
              <w:snapToGrid w:val="0"/>
              <w:ind w:left="113" w:right="113"/>
              <w:jc w:val="both"/>
              <w:rPr>
                <w:b/>
                <w:iCs/>
                <w:sz w:val="24"/>
                <w:szCs w:val="24"/>
                <w:lang w:eastAsia="en-US"/>
              </w:rPr>
            </w:pPr>
          </w:p>
          <w:p w:rsidR="004F1081" w:rsidRPr="00461C3A" w:rsidRDefault="004F1081">
            <w:pPr>
              <w:snapToGrid w:val="0"/>
              <w:ind w:left="113" w:right="113"/>
              <w:jc w:val="both"/>
              <w:rPr>
                <w:b/>
                <w:iCs/>
                <w:sz w:val="24"/>
                <w:szCs w:val="24"/>
                <w:lang w:eastAsia="en-US"/>
              </w:rPr>
            </w:pPr>
          </w:p>
        </w:tc>
        <w:tc>
          <w:tcPr>
            <w:tcW w:w="2778" w:type="dxa"/>
            <w:tcBorders>
              <w:left w:val="single" w:sz="4" w:space="0" w:color="000001"/>
            </w:tcBorders>
            <w:shd w:val="clear" w:color="auto" w:fill="auto"/>
          </w:tcPr>
          <w:p w:rsidR="004F1081" w:rsidRPr="00461C3A" w:rsidRDefault="004F1081">
            <w:pPr>
              <w:snapToGrid w:val="0"/>
              <w:rPr>
                <w:b/>
                <w:iCs/>
                <w:sz w:val="24"/>
                <w:szCs w:val="24"/>
                <w:lang w:eastAsia="en-US"/>
              </w:rPr>
            </w:pPr>
          </w:p>
        </w:tc>
        <w:tc>
          <w:tcPr>
            <w:tcW w:w="30" w:type="dxa"/>
            <w:shd w:val="clear" w:color="auto" w:fill="auto"/>
          </w:tcPr>
          <w:p w:rsidR="004F1081" w:rsidRPr="00461C3A" w:rsidRDefault="004F1081"/>
        </w:tc>
      </w:tr>
      <w:tr w:rsidR="00461C3A" w:rsidRPr="00461C3A" w:rsidTr="00795BF0">
        <w:trPr>
          <w:trHeight w:val="862"/>
        </w:trPr>
        <w:tc>
          <w:tcPr>
            <w:tcW w:w="267" w:type="dxa"/>
            <w:shd w:val="clear" w:color="auto" w:fill="auto"/>
          </w:tcPr>
          <w:p w:rsidR="004F1081" w:rsidRPr="00461C3A" w:rsidRDefault="004F1081">
            <w:pPr>
              <w:pStyle w:val="TableContents"/>
              <w:snapToGrid w:val="0"/>
              <w:rPr>
                <w:sz w:val="24"/>
                <w:szCs w:val="24"/>
              </w:rPr>
            </w:pPr>
          </w:p>
        </w:tc>
        <w:tc>
          <w:tcPr>
            <w:tcW w:w="5547"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4F1081">
            <w:pPr>
              <w:ind w:left="113" w:right="113"/>
              <w:jc w:val="both"/>
              <w:rPr>
                <w:bCs/>
                <w:sz w:val="24"/>
                <w:szCs w:val="24"/>
              </w:rPr>
            </w:pPr>
          </w:p>
          <w:p w:rsidR="004F1081" w:rsidRPr="00461C3A" w:rsidRDefault="00350CB2">
            <w:pPr>
              <w:ind w:left="113" w:right="113"/>
              <w:jc w:val="both"/>
            </w:pPr>
            <w:r w:rsidRPr="00461C3A">
              <w:rPr>
                <w:bCs/>
                <w:sz w:val="24"/>
                <w:szCs w:val="24"/>
              </w:rPr>
              <w:t xml:space="preserve">2) </w:t>
            </w:r>
            <w:r w:rsidRPr="00461C3A">
              <w:rPr>
                <w:sz w:val="24"/>
                <w:szCs w:val="24"/>
              </w:rPr>
              <w:t>Conformitatea proiectului de act normativ cu legislaţia comunitară în cazul proiectelor ce transpun prevederi comunitare</w:t>
            </w:r>
          </w:p>
        </w:tc>
        <w:tc>
          <w:tcPr>
            <w:tcW w:w="4610" w:type="dxa"/>
            <w:gridSpan w:val="5"/>
            <w:tcBorders>
              <w:top w:val="single" w:sz="4" w:space="0" w:color="000001"/>
              <w:left w:val="single" w:sz="4" w:space="0" w:color="000001"/>
              <w:bottom w:val="single" w:sz="4" w:space="0" w:color="000001"/>
            </w:tcBorders>
            <w:shd w:val="clear" w:color="auto" w:fill="auto"/>
            <w:vAlign w:val="center"/>
          </w:tcPr>
          <w:p w:rsidR="004F1081" w:rsidRPr="00461C3A" w:rsidRDefault="00350CB2">
            <w:pPr>
              <w:widowControl w:val="0"/>
              <w:ind w:left="77" w:right="207"/>
              <w:jc w:val="both"/>
            </w:pPr>
            <w:r w:rsidRPr="00461C3A">
              <w:rPr>
                <w:sz w:val="24"/>
                <w:szCs w:val="24"/>
              </w:rPr>
              <w:t>Noile prevederi privind modificările Codului fiscal sunt conforme cu legislaţia comunitară în materie.</w:t>
            </w:r>
          </w:p>
          <w:p w:rsidR="004F1081" w:rsidRPr="00461C3A" w:rsidRDefault="004F1081">
            <w:pPr>
              <w:snapToGrid w:val="0"/>
              <w:ind w:left="113" w:right="113"/>
              <w:jc w:val="both"/>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675"/>
        </w:trPr>
        <w:tc>
          <w:tcPr>
            <w:tcW w:w="267" w:type="dxa"/>
            <w:shd w:val="clear" w:color="auto" w:fill="auto"/>
          </w:tcPr>
          <w:p w:rsidR="004F1081" w:rsidRPr="00461C3A" w:rsidRDefault="004F1081">
            <w:pPr>
              <w:pStyle w:val="TableContents"/>
              <w:snapToGrid w:val="0"/>
              <w:rPr>
                <w:sz w:val="24"/>
                <w:szCs w:val="24"/>
              </w:rPr>
            </w:pPr>
          </w:p>
        </w:tc>
        <w:tc>
          <w:tcPr>
            <w:tcW w:w="5547"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4F1081">
            <w:pPr>
              <w:ind w:left="113" w:right="113"/>
              <w:jc w:val="both"/>
              <w:rPr>
                <w:bCs/>
                <w:sz w:val="24"/>
                <w:szCs w:val="24"/>
              </w:rPr>
            </w:pPr>
          </w:p>
          <w:p w:rsidR="004F1081" w:rsidRPr="00461C3A" w:rsidRDefault="00350CB2">
            <w:pPr>
              <w:ind w:left="113" w:right="113"/>
              <w:jc w:val="both"/>
            </w:pPr>
            <w:r w:rsidRPr="00461C3A">
              <w:rPr>
                <w:bCs/>
                <w:sz w:val="24"/>
                <w:szCs w:val="24"/>
              </w:rPr>
              <w:t xml:space="preserve">3) </w:t>
            </w:r>
            <w:r w:rsidRPr="00461C3A">
              <w:rPr>
                <w:sz w:val="24"/>
                <w:szCs w:val="24"/>
              </w:rPr>
              <w:t>Măsuri normative necesare aplicării directe a actelor normative comunitare</w:t>
            </w:r>
          </w:p>
        </w:tc>
        <w:tc>
          <w:tcPr>
            <w:tcW w:w="4610" w:type="dxa"/>
            <w:gridSpan w:val="5"/>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sz w:val="24"/>
                <w:szCs w:val="24"/>
                <w:lang w:eastAsia="ro-RO"/>
              </w:rPr>
              <w:t>Proiectul de act normativ nu se referă la acest subiect</w:t>
            </w:r>
          </w:p>
          <w:p w:rsidR="004F1081" w:rsidRPr="00461C3A" w:rsidRDefault="004F1081">
            <w:pPr>
              <w:ind w:left="113" w:right="113"/>
              <w:jc w:val="both"/>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831"/>
        </w:trPr>
        <w:tc>
          <w:tcPr>
            <w:tcW w:w="267" w:type="dxa"/>
            <w:shd w:val="clear" w:color="auto" w:fill="auto"/>
          </w:tcPr>
          <w:p w:rsidR="004F1081" w:rsidRPr="00461C3A" w:rsidRDefault="004F1081">
            <w:pPr>
              <w:pStyle w:val="TableContents"/>
              <w:snapToGrid w:val="0"/>
              <w:rPr>
                <w:sz w:val="24"/>
                <w:szCs w:val="24"/>
              </w:rPr>
            </w:pPr>
          </w:p>
        </w:tc>
        <w:tc>
          <w:tcPr>
            <w:tcW w:w="5547"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bCs/>
                <w:sz w:val="24"/>
                <w:szCs w:val="24"/>
              </w:rPr>
              <w:t xml:space="preserve">4) </w:t>
            </w:r>
            <w:r w:rsidRPr="00461C3A">
              <w:rPr>
                <w:sz w:val="24"/>
                <w:szCs w:val="24"/>
              </w:rPr>
              <w:t>Hotărâri ale Curţii de Justiţie a Uniunii Europene</w:t>
            </w:r>
          </w:p>
        </w:tc>
        <w:tc>
          <w:tcPr>
            <w:tcW w:w="4610" w:type="dxa"/>
            <w:gridSpan w:val="5"/>
            <w:tcBorders>
              <w:top w:val="single" w:sz="4" w:space="0" w:color="000001"/>
              <w:left w:val="single" w:sz="4" w:space="0" w:color="000001"/>
              <w:bottom w:val="single" w:sz="4" w:space="0" w:color="000001"/>
            </w:tcBorders>
            <w:shd w:val="clear" w:color="auto" w:fill="auto"/>
            <w:vAlign w:val="center"/>
          </w:tcPr>
          <w:p w:rsidR="004F1081" w:rsidRPr="00461C3A" w:rsidRDefault="00350CB2">
            <w:pPr>
              <w:snapToGrid w:val="0"/>
              <w:ind w:left="113" w:right="113"/>
              <w:jc w:val="both"/>
            </w:pPr>
            <w:r w:rsidRPr="00461C3A">
              <w:rPr>
                <w:sz w:val="24"/>
                <w:szCs w:val="24"/>
              </w:rPr>
              <w:t>Modificările legislative nu contravin jurisprudenţei Curţii de Justiţie a Uniunii Europene.</w:t>
            </w:r>
          </w:p>
          <w:p w:rsidR="004F1081" w:rsidRPr="00461C3A" w:rsidRDefault="004F1081">
            <w:pPr>
              <w:snapToGrid w:val="0"/>
              <w:ind w:left="113" w:right="113"/>
              <w:jc w:val="both"/>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918"/>
        </w:trPr>
        <w:tc>
          <w:tcPr>
            <w:tcW w:w="267" w:type="dxa"/>
            <w:shd w:val="clear" w:color="auto" w:fill="auto"/>
          </w:tcPr>
          <w:p w:rsidR="004F1081" w:rsidRPr="00461C3A" w:rsidRDefault="004F1081">
            <w:pPr>
              <w:pStyle w:val="TableContents"/>
              <w:snapToGrid w:val="0"/>
              <w:rPr>
                <w:sz w:val="24"/>
                <w:szCs w:val="24"/>
              </w:rPr>
            </w:pPr>
          </w:p>
        </w:tc>
        <w:tc>
          <w:tcPr>
            <w:tcW w:w="5547"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pPr>
            <w:r w:rsidRPr="00461C3A">
              <w:rPr>
                <w:bCs/>
                <w:sz w:val="24"/>
                <w:szCs w:val="24"/>
              </w:rPr>
              <w:t xml:space="preserve">5) </w:t>
            </w:r>
            <w:r w:rsidRPr="00461C3A">
              <w:rPr>
                <w:sz w:val="24"/>
                <w:szCs w:val="24"/>
              </w:rPr>
              <w:t>Alte acte normative şi/sau documente internaţionale din care decurg angajamente</w:t>
            </w:r>
          </w:p>
        </w:tc>
        <w:tc>
          <w:tcPr>
            <w:tcW w:w="4610" w:type="dxa"/>
            <w:gridSpan w:val="5"/>
            <w:tcBorders>
              <w:top w:val="single" w:sz="4" w:space="0" w:color="000001"/>
              <w:left w:val="single" w:sz="4" w:space="0" w:color="000001"/>
              <w:bottom w:val="single" w:sz="4" w:space="0" w:color="000001"/>
            </w:tcBorders>
            <w:shd w:val="clear" w:color="auto" w:fill="auto"/>
            <w:vAlign w:val="center"/>
          </w:tcPr>
          <w:p w:rsidR="004F1081" w:rsidRPr="00461C3A" w:rsidRDefault="00350CB2">
            <w:pPr>
              <w:pStyle w:val="TableText"/>
              <w:snapToGrid w:val="0"/>
              <w:ind w:left="113" w:right="113"/>
              <w:jc w:val="both"/>
              <w:rPr>
                <w:lang w:val="fr-BE"/>
              </w:rPr>
            </w:pPr>
            <w:r w:rsidRPr="00461C3A">
              <w:rPr>
                <w:lang w:val="ro-RO" w:eastAsia="ro-RO"/>
              </w:rPr>
              <w:t>Proiectul de act normativ nu se referă la acest subiect</w:t>
            </w:r>
          </w:p>
          <w:p w:rsidR="004F1081" w:rsidRPr="00461C3A" w:rsidRDefault="004F1081">
            <w:pPr>
              <w:pStyle w:val="TableText"/>
              <w:snapToGrid w:val="0"/>
              <w:ind w:left="113" w:right="113"/>
              <w:jc w:val="both"/>
              <w:rPr>
                <w:lang w:val="ro-RO" w:eastAsia="ro-RO"/>
              </w:rPr>
            </w:pPr>
          </w:p>
          <w:p w:rsidR="004F1081" w:rsidRPr="00461C3A" w:rsidRDefault="004F1081">
            <w:pPr>
              <w:pStyle w:val="TableText"/>
              <w:snapToGrid w:val="0"/>
              <w:ind w:left="113" w:right="113"/>
              <w:jc w:val="both"/>
              <w:rPr>
                <w:lang w:val="ro-RO"/>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426"/>
        </w:trPr>
        <w:tc>
          <w:tcPr>
            <w:tcW w:w="267" w:type="dxa"/>
            <w:shd w:val="clear" w:color="auto" w:fill="auto"/>
          </w:tcPr>
          <w:p w:rsidR="004F1081" w:rsidRPr="00461C3A" w:rsidRDefault="004F1081">
            <w:pPr>
              <w:pStyle w:val="TableContents"/>
              <w:snapToGrid w:val="0"/>
              <w:rPr>
                <w:sz w:val="24"/>
                <w:szCs w:val="24"/>
              </w:rPr>
            </w:pPr>
          </w:p>
        </w:tc>
        <w:tc>
          <w:tcPr>
            <w:tcW w:w="5547"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bCs/>
                <w:sz w:val="24"/>
                <w:szCs w:val="24"/>
              </w:rPr>
              <w:t xml:space="preserve">6) </w:t>
            </w:r>
            <w:r w:rsidRPr="00461C3A">
              <w:rPr>
                <w:sz w:val="24"/>
                <w:szCs w:val="24"/>
              </w:rPr>
              <w:t>Alte informaţii</w:t>
            </w:r>
          </w:p>
        </w:tc>
        <w:tc>
          <w:tcPr>
            <w:tcW w:w="4610" w:type="dxa"/>
            <w:gridSpan w:val="5"/>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sz w:val="24"/>
                <w:szCs w:val="24"/>
              </w:rPr>
              <w:t>Nu este cazul.</w:t>
            </w:r>
          </w:p>
          <w:p w:rsidR="004F1081" w:rsidRPr="00461C3A" w:rsidRDefault="004F1081">
            <w:pPr>
              <w:ind w:left="113" w:right="113"/>
              <w:jc w:val="both"/>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640"/>
        </w:trPr>
        <w:tc>
          <w:tcPr>
            <w:tcW w:w="267" w:type="dxa"/>
            <w:shd w:val="clear" w:color="auto" w:fill="auto"/>
          </w:tcPr>
          <w:p w:rsidR="004F1081" w:rsidRPr="00461C3A" w:rsidRDefault="004F1081">
            <w:pPr>
              <w:pStyle w:val="TableContents"/>
              <w:snapToGrid w:val="0"/>
              <w:rPr>
                <w:sz w:val="24"/>
                <w:szCs w:val="24"/>
              </w:rPr>
            </w:pPr>
          </w:p>
        </w:tc>
        <w:tc>
          <w:tcPr>
            <w:tcW w:w="10157" w:type="dxa"/>
            <w:gridSpan w:val="9"/>
            <w:tcBorders>
              <w:top w:val="single" w:sz="4" w:space="0" w:color="000001"/>
              <w:left w:val="single" w:sz="4" w:space="0" w:color="000001"/>
              <w:bottom w:val="single" w:sz="4" w:space="0" w:color="000001"/>
            </w:tcBorders>
            <w:shd w:val="clear" w:color="auto" w:fill="auto"/>
            <w:vAlign w:val="center"/>
          </w:tcPr>
          <w:p w:rsidR="008F6239" w:rsidRDefault="008F6239">
            <w:pPr>
              <w:ind w:left="113" w:right="113"/>
              <w:jc w:val="center"/>
              <w:rPr>
                <w:b/>
                <w:bCs/>
                <w:sz w:val="24"/>
                <w:szCs w:val="24"/>
              </w:rPr>
            </w:pPr>
          </w:p>
          <w:p w:rsidR="004F1081" w:rsidRPr="00461C3A" w:rsidRDefault="00350CB2">
            <w:pPr>
              <w:ind w:left="113" w:right="113"/>
              <w:jc w:val="center"/>
            </w:pPr>
            <w:r w:rsidRPr="00461C3A">
              <w:rPr>
                <w:b/>
                <w:bCs/>
                <w:sz w:val="24"/>
                <w:szCs w:val="24"/>
              </w:rPr>
              <w:t>Secţiunea a 6-a</w:t>
            </w:r>
          </w:p>
          <w:p w:rsidR="004F1081" w:rsidRDefault="00350CB2" w:rsidP="00F666E8">
            <w:pPr>
              <w:ind w:left="113" w:right="113"/>
              <w:jc w:val="center"/>
              <w:rPr>
                <w:b/>
                <w:bCs/>
                <w:sz w:val="24"/>
                <w:szCs w:val="24"/>
              </w:rPr>
            </w:pPr>
            <w:r w:rsidRPr="00461C3A">
              <w:rPr>
                <w:b/>
                <w:bCs/>
                <w:sz w:val="24"/>
                <w:szCs w:val="24"/>
              </w:rPr>
              <w:t>Consultările efectuate în vederea elaborării proiectului de act normativ</w:t>
            </w:r>
          </w:p>
          <w:p w:rsidR="008F6239" w:rsidRDefault="008F6239" w:rsidP="00F666E8">
            <w:pPr>
              <w:ind w:left="113" w:right="113"/>
              <w:jc w:val="center"/>
              <w:rPr>
                <w:b/>
                <w:bCs/>
                <w:sz w:val="24"/>
                <w:szCs w:val="24"/>
              </w:rPr>
            </w:pPr>
          </w:p>
          <w:p w:rsidR="008F6239" w:rsidRPr="00461C3A" w:rsidRDefault="008F6239" w:rsidP="00F666E8">
            <w:pPr>
              <w:ind w:left="113" w:right="113"/>
              <w:jc w:val="center"/>
            </w:pPr>
          </w:p>
        </w:tc>
        <w:tc>
          <w:tcPr>
            <w:tcW w:w="2778" w:type="dxa"/>
            <w:tcBorders>
              <w:left w:val="single" w:sz="4" w:space="0" w:color="000001"/>
            </w:tcBorders>
            <w:shd w:val="clear" w:color="auto" w:fill="auto"/>
          </w:tcPr>
          <w:p w:rsidR="004F1081" w:rsidRPr="00461C3A" w:rsidRDefault="004F1081">
            <w:pPr>
              <w:snapToGrid w:val="0"/>
              <w:rPr>
                <w:b/>
                <w:bCs/>
                <w:sz w:val="24"/>
                <w:szCs w:val="24"/>
              </w:rPr>
            </w:pPr>
          </w:p>
        </w:tc>
        <w:tc>
          <w:tcPr>
            <w:tcW w:w="30" w:type="dxa"/>
            <w:shd w:val="clear" w:color="auto" w:fill="auto"/>
          </w:tcPr>
          <w:p w:rsidR="004F1081" w:rsidRPr="00461C3A" w:rsidRDefault="004F1081"/>
        </w:tc>
      </w:tr>
      <w:tr w:rsidR="00461C3A" w:rsidRPr="00461C3A" w:rsidTr="00795BF0">
        <w:trPr>
          <w:trHeight w:val="407"/>
        </w:trPr>
        <w:tc>
          <w:tcPr>
            <w:tcW w:w="267" w:type="dxa"/>
            <w:shd w:val="clear" w:color="auto" w:fill="auto"/>
          </w:tcPr>
          <w:p w:rsidR="004F1081" w:rsidRPr="00461C3A" w:rsidRDefault="004F1081">
            <w:pPr>
              <w:pStyle w:val="TableContents"/>
              <w:snapToGrid w:val="0"/>
              <w:rPr>
                <w:sz w:val="24"/>
                <w:szCs w:val="24"/>
              </w:rPr>
            </w:pPr>
          </w:p>
        </w:tc>
        <w:tc>
          <w:tcPr>
            <w:tcW w:w="5649" w:type="dxa"/>
            <w:gridSpan w:val="5"/>
            <w:tcBorders>
              <w:top w:val="single" w:sz="4" w:space="0" w:color="000001"/>
              <w:left w:val="single" w:sz="4" w:space="0" w:color="000001"/>
              <w:bottom w:val="single" w:sz="4" w:space="0" w:color="000001"/>
            </w:tcBorders>
            <w:shd w:val="clear" w:color="auto" w:fill="auto"/>
            <w:vAlign w:val="center"/>
          </w:tcPr>
          <w:p w:rsidR="004F1081" w:rsidRPr="00461C3A" w:rsidRDefault="004F1081">
            <w:pPr>
              <w:ind w:left="113" w:right="113"/>
              <w:jc w:val="both"/>
              <w:rPr>
                <w:bCs/>
                <w:sz w:val="24"/>
                <w:szCs w:val="24"/>
              </w:rPr>
            </w:pPr>
          </w:p>
          <w:p w:rsidR="004F1081" w:rsidRPr="00461C3A" w:rsidRDefault="00350CB2" w:rsidP="005B05D2">
            <w:pPr>
              <w:ind w:left="113" w:right="113"/>
              <w:jc w:val="both"/>
            </w:pPr>
            <w:r w:rsidRPr="00461C3A">
              <w:rPr>
                <w:bCs/>
                <w:sz w:val="24"/>
                <w:szCs w:val="24"/>
              </w:rPr>
              <w:t>1) Informaţii privind procesul de consultare cu organizaţii neguvernamentale, institute de cercetare şi alte organisme implicate</w:t>
            </w:r>
          </w:p>
        </w:tc>
        <w:tc>
          <w:tcPr>
            <w:tcW w:w="4508"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350CB2">
            <w:pPr>
              <w:pStyle w:val="TableContents"/>
              <w:ind w:left="113" w:right="113"/>
              <w:jc w:val="both"/>
            </w:pPr>
            <w:r w:rsidRPr="00461C3A">
              <w:rPr>
                <w:bCs/>
                <w:sz w:val="24"/>
                <w:szCs w:val="24"/>
                <w:lang w:eastAsia="ro-RO"/>
              </w:rPr>
              <w:t>Proiectul de act normativ a fost dezbătut în cadrul Comisiei de Dialog Social la care participă reprezentanţi ai organismelor interesate.</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928"/>
        </w:trPr>
        <w:tc>
          <w:tcPr>
            <w:tcW w:w="267" w:type="dxa"/>
            <w:shd w:val="clear" w:color="auto" w:fill="auto"/>
          </w:tcPr>
          <w:p w:rsidR="004F1081" w:rsidRPr="00461C3A" w:rsidRDefault="004F1081">
            <w:pPr>
              <w:pStyle w:val="TableContents"/>
              <w:snapToGrid w:val="0"/>
              <w:rPr>
                <w:sz w:val="24"/>
                <w:szCs w:val="24"/>
              </w:rPr>
            </w:pPr>
          </w:p>
        </w:tc>
        <w:tc>
          <w:tcPr>
            <w:tcW w:w="5649" w:type="dxa"/>
            <w:gridSpan w:val="5"/>
            <w:tcBorders>
              <w:top w:val="single" w:sz="4" w:space="0" w:color="000001"/>
              <w:left w:val="single" w:sz="4" w:space="0" w:color="000001"/>
              <w:bottom w:val="single" w:sz="4" w:space="0" w:color="000001"/>
            </w:tcBorders>
            <w:shd w:val="clear" w:color="auto" w:fill="auto"/>
            <w:vAlign w:val="center"/>
          </w:tcPr>
          <w:p w:rsidR="004F1081" w:rsidRPr="00461C3A" w:rsidRDefault="004F1081">
            <w:pPr>
              <w:ind w:left="113" w:right="113"/>
              <w:jc w:val="both"/>
              <w:rPr>
                <w:bCs/>
                <w:sz w:val="24"/>
                <w:szCs w:val="24"/>
              </w:rPr>
            </w:pPr>
          </w:p>
          <w:p w:rsidR="004F1081" w:rsidRPr="00461C3A" w:rsidRDefault="00350CB2" w:rsidP="005B05D2">
            <w:pPr>
              <w:ind w:left="113" w:right="113"/>
              <w:jc w:val="both"/>
            </w:pPr>
            <w:r w:rsidRPr="00461C3A">
              <w:rPr>
                <w:bCs/>
                <w:sz w:val="24"/>
                <w:szCs w:val="24"/>
              </w:rPr>
              <w:t>2) Fundamentarea alegerii organizaţiilor cu care a avut loc consultarea, precum şi a modului în care activitatea acestor organizaţii este legată de obiectul proiectului de act normativ</w:t>
            </w:r>
          </w:p>
        </w:tc>
        <w:tc>
          <w:tcPr>
            <w:tcW w:w="4508"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4F1081">
            <w:pPr>
              <w:snapToGrid w:val="0"/>
              <w:ind w:left="113" w:right="113" w:hanging="39"/>
              <w:jc w:val="both"/>
              <w:rPr>
                <w:sz w:val="24"/>
                <w:szCs w:val="24"/>
              </w:rPr>
            </w:pPr>
          </w:p>
          <w:p w:rsidR="004F1081" w:rsidRPr="00461C3A" w:rsidRDefault="004F1081">
            <w:pPr>
              <w:snapToGrid w:val="0"/>
              <w:ind w:left="113" w:right="113" w:hanging="39"/>
              <w:jc w:val="both"/>
              <w:rPr>
                <w:sz w:val="24"/>
                <w:szCs w:val="24"/>
              </w:rPr>
            </w:pPr>
          </w:p>
          <w:p w:rsidR="004F1081" w:rsidRPr="00461C3A" w:rsidRDefault="00350CB2">
            <w:pPr>
              <w:snapToGrid w:val="0"/>
              <w:ind w:left="113" w:right="113"/>
              <w:jc w:val="both"/>
            </w:pPr>
            <w:r w:rsidRPr="00461C3A">
              <w:rPr>
                <w:sz w:val="24"/>
                <w:szCs w:val="24"/>
                <w:lang w:eastAsia="ro-RO"/>
              </w:rPr>
              <w:t>Proiectul de act normativ nu se referă la acest subiect</w:t>
            </w:r>
          </w:p>
          <w:p w:rsidR="004F1081" w:rsidRPr="00461C3A" w:rsidRDefault="004F1081">
            <w:pPr>
              <w:snapToGrid w:val="0"/>
              <w:ind w:left="113" w:right="113" w:firstLine="426"/>
              <w:jc w:val="both"/>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810"/>
        </w:trPr>
        <w:tc>
          <w:tcPr>
            <w:tcW w:w="267" w:type="dxa"/>
            <w:shd w:val="clear" w:color="auto" w:fill="auto"/>
          </w:tcPr>
          <w:p w:rsidR="004F1081" w:rsidRPr="00461C3A" w:rsidRDefault="004F1081">
            <w:pPr>
              <w:pStyle w:val="TableContents"/>
              <w:snapToGrid w:val="0"/>
              <w:rPr>
                <w:sz w:val="24"/>
                <w:szCs w:val="24"/>
              </w:rPr>
            </w:pPr>
          </w:p>
        </w:tc>
        <w:tc>
          <w:tcPr>
            <w:tcW w:w="5649" w:type="dxa"/>
            <w:gridSpan w:val="5"/>
            <w:tcBorders>
              <w:top w:val="single" w:sz="4" w:space="0" w:color="000001"/>
              <w:left w:val="single" w:sz="4" w:space="0" w:color="000001"/>
              <w:bottom w:val="single" w:sz="4" w:space="0" w:color="000001"/>
            </w:tcBorders>
            <w:shd w:val="clear" w:color="auto" w:fill="auto"/>
            <w:vAlign w:val="center"/>
          </w:tcPr>
          <w:p w:rsidR="004F1081" w:rsidRPr="00461C3A" w:rsidRDefault="004F1081">
            <w:pPr>
              <w:ind w:left="113" w:right="113"/>
              <w:jc w:val="both"/>
              <w:rPr>
                <w:bCs/>
                <w:sz w:val="24"/>
                <w:szCs w:val="24"/>
              </w:rPr>
            </w:pPr>
          </w:p>
          <w:p w:rsidR="004F1081" w:rsidRPr="00461C3A" w:rsidRDefault="00350CB2" w:rsidP="005B05D2">
            <w:pPr>
              <w:ind w:left="113" w:right="113"/>
              <w:jc w:val="both"/>
            </w:pPr>
            <w:r w:rsidRPr="00461C3A">
              <w:rPr>
                <w:bCs/>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508"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4F1081">
            <w:pPr>
              <w:pStyle w:val="DefaultText"/>
              <w:snapToGrid w:val="0"/>
              <w:jc w:val="both"/>
              <w:rPr>
                <w:lang w:val="ro-RO"/>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1152"/>
        </w:trPr>
        <w:tc>
          <w:tcPr>
            <w:tcW w:w="267" w:type="dxa"/>
            <w:shd w:val="clear" w:color="auto" w:fill="auto"/>
          </w:tcPr>
          <w:p w:rsidR="004F1081" w:rsidRPr="00461C3A" w:rsidRDefault="004F1081">
            <w:pPr>
              <w:pStyle w:val="TableContents"/>
              <w:snapToGrid w:val="0"/>
              <w:rPr>
                <w:sz w:val="24"/>
                <w:szCs w:val="24"/>
              </w:rPr>
            </w:pPr>
          </w:p>
        </w:tc>
        <w:tc>
          <w:tcPr>
            <w:tcW w:w="5649" w:type="dxa"/>
            <w:gridSpan w:val="5"/>
            <w:tcBorders>
              <w:top w:val="single" w:sz="4" w:space="0" w:color="000001"/>
              <w:left w:val="single" w:sz="4" w:space="0" w:color="000001"/>
              <w:bottom w:val="single" w:sz="4" w:space="0" w:color="00000A"/>
            </w:tcBorders>
            <w:shd w:val="clear" w:color="auto" w:fill="auto"/>
            <w:vAlign w:val="center"/>
          </w:tcPr>
          <w:p w:rsidR="004F1081" w:rsidRPr="00461C3A" w:rsidRDefault="00350CB2" w:rsidP="005B05D2">
            <w:pPr>
              <w:ind w:left="113" w:right="113"/>
              <w:jc w:val="both"/>
            </w:pPr>
            <w:r w:rsidRPr="00461C3A">
              <w:rPr>
                <w:bCs/>
                <w:sz w:val="24"/>
                <w:szCs w:val="24"/>
              </w:rPr>
              <w:t>4) Consultările desfăşurate în cadrul consiliilor interministeriale, în conformitate cu prevederile Hotărârii Guvernului nr. 750/2005 privind constituirea consiliilor interministeriale permanente</w:t>
            </w:r>
          </w:p>
        </w:tc>
        <w:tc>
          <w:tcPr>
            <w:tcW w:w="4508" w:type="dxa"/>
            <w:gridSpan w:val="4"/>
            <w:tcBorders>
              <w:top w:val="single" w:sz="4" w:space="0" w:color="000001"/>
              <w:left w:val="single" w:sz="4" w:space="0" w:color="000001"/>
              <w:bottom w:val="single" w:sz="4" w:space="0" w:color="00000A"/>
            </w:tcBorders>
            <w:shd w:val="clear" w:color="auto" w:fill="auto"/>
            <w:vAlign w:val="center"/>
          </w:tcPr>
          <w:p w:rsidR="004F1081" w:rsidRPr="00461C3A" w:rsidRDefault="00350CB2">
            <w:pPr>
              <w:ind w:left="113" w:right="113"/>
            </w:pPr>
            <w:r w:rsidRPr="00461C3A">
              <w:rPr>
                <w:sz w:val="24"/>
                <w:szCs w:val="24"/>
                <w:lang w:eastAsia="ro-RO"/>
              </w:rPr>
              <w:t>Proiectul de act normativ nu se referă la acest subiect</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495"/>
        </w:trPr>
        <w:tc>
          <w:tcPr>
            <w:tcW w:w="267" w:type="dxa"/>
            <w:tcBorders>
              <w:right w:val="single" w:sz="4" w:space="0" w:color="00000A"/>
            </w:tcBorders>
            <w:shd w:val="clear" w:color="auto" w:fill="auto"/>
          </w:tcPr>
          <w:p w:rsidR="004F1081" w:rsidRPr="00461C3A" w:rsidRDefault="004F1081">
            <w:pPr>
              <w:pStyle w:val="TableContents"/>
              <w:snapToGrid w:val="0"/>
              <w:rPr>
                <w:sz w:val="24"/>
                <w:szCs w:val="24"/>
              </w:rPr>
            </w:pPr>
          </w:p>
        </w:tc>
        <w:tc>
          <w:tcPr>
            <w:tcW w:w="5649" w:type="dxa"/>
            <w:gridSpan w:val="5"/>
            <w:tcBorders>
              <w:top w:val="single" w:sz="4" w:space="0" w:color="00000A"/>
              <w:left w:val="single" w:sz="4" w:space="0" w:color="00000A"/>
              <w:right w:val="single" w:sz="4" w:space="0" w:color="00000A"/>
            </w:tcBorders>
            <w:shd w:val="clear" w:color="auto" w:fill="auto"/>
            <w:vAlign w:val="center"/>
          </w:tcPr>
          <w:p w:rsidR="004F1081" w:rsidRPr="00461C3A" w:rsidRDefault="00350CB2">
            <w:pPr>
              <w:ind w:left="113" w:right="113"/>
              <w:jc w:val="both"/>
            </w:pPr>
            <w:r w:rsidRPr="00461C3A">
              <w:rPr>
                <w:bCs/>
                <w:sz w:val="24"/>
                <w:szCs w:val="24"/>
              </w:rPr>
              <w:t>5) Informaţii privind avizarea de către:</w:t>
            </w:r>
          </w:p>
        </w:tc>
        <w:tc>
          <w:tcPr>
            <w:tcW w:w="4508" w:type="dxa"/>
            <w:gridSpan w:val="4"/>
            <w:tcBorders>
              <w:top w:val="single" w:sz="4" w:space="0" w:color="00000A"/>
              <w:left w:val="single" w:sz="4" w:space="0" w:color="00000A"/>
              <w:right w:val="single" w:sz="4" w:space="0" w:color="00000A"/>
            </w:tcBorders>
            <w:shd w:val="clear" w:color="auto" w:fill="auto"/>
            <w:vAlign w:val="center"/>
          </w:tcPr>
          <w:p w:rsidR="004F1081" w:rsidRPr="00461C3A" w:rsidRDefault="004F1081">
            <w:pPr>
              <w:snapToGrid w:val="0"/>
              <w:ind w:left="113" w:right="113"/>
              <w:rPr>
                <w:sz w:val="24"/>
                <w:szCs w:val="24"/>
              </w:rPr>
            </w:pPr>
          </w:p>
        </w:tc>
        <w:tc>
          <w:tcPr>
            <w:tcW w:w="2778" w:type="dxa"/>
            <w:tcBorders>
              <w:left w:val="single" w:sz="4" w:space="0" w:color="00000A"/>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495"/>
        </w:trPr>
        <w:tc>
          <w:tcPr>
            <w:tcW w:w="267" w:type="dxa"/>
            <w:tcBorders>
              <w:right w:val="single" w:sz="4" w:space="0" w:color="00000A"/>
            </w:tcBorders>
            <w:shd w:val="clear" w:color="auto" w:fill="auto"/>
          </w:tcPr>
          <w:p w:rsidR="004F1081" w:rsidRPr="00461C3A" w:rsidRDefault="004F1081">
            <w:pPr>
              <w:pStyle w:val="TableContents"/>
              <w:snapToGrid w:val="0"/>
              <w:rPr>
                <w:sz w:val="24"/>
                <w:szCs w:val="24"/>
              </w:rPr>
            </w:pPr>
          </w:p>
        </w:tc>
        <w:tc>
          <w:tcPr>
            <w:tcW w:w="5649" w:type="dxa"/>
            <w:gridSpan w:val="5"/>
            <w:tcBorders>
              <w:left w:val="single" w:sz="4" w:space="0" w:color="00000A"/>
              <w:right w:val="single" w:sz="4" w:space="0" w:color="00000A"/>
            </w:tcBorders>
            <w:shd w:val="clear" w:color="auto" w:fill="auto"/>
            <w:vAlign w:val="center"/>
          </w:tcPr>
          <w:p w:rsidR="004F1081" w:rsidRPr="00461C3A" w:rsidRDefault="00350CB2">
            <w:pPr>
              <w:ind w:left="113" w:right="113"/>
              <w:jc w:val="both"/>
            </w:pPr>
            <w:r w:rsidRPr="00461C3A">
              <w:rPr>
                <w:bCs/>
                <w:sz w:val="24"/>
                <w:szCs w:val="24"/>
              </w:rPr>
              <w:t>a) Consiliul Legislativ</w:t>
            </w:r>
          </w:p>
        </w:tc>
        <w:tc>
          <w:tcPr>
            <w:tcW w:w="4508" w:type="dxa"/>
            <w:gridSpan w:val="4"/>
            <w:vMerge w:val="restart"/>
            <w:tcBorders>
              <w:left w:val="single" w:sz="4" w:space="0" w:color="00000A"/>
              <w:right w:val="single" w:sz="4" w:space="0" w:color="00000A"/>
            </w:tcBorders>
            <w:shd w:val="clear" w:color="auto" w:fill="auto"/>
            <w:vAlign w:val="center"/>
          </w:tcPr>
          <w:p w:rsidR="004F1081" w:rsidRPr="00461C3A" w:rsidRDefault="00350CB2">
            <w:pPr>
              <w:ind w:left="113" w:right="113"/>
              <w:jc w:val="both"/>
            </w:pPr>
            <w:r w:rsidRPr="00461C3A">
              <w:rPr>
                <w:sz w:val="24"/>
                <w:szCs w:val="24"/>
              </w:rPr>
              <w:t xml:space="preserve">Proiectul de act normativ se avizează de către </w:t>
            </w:r>
            <w:r w:rsidRPr="00461C3A">
              <w:rPr>
                <w:bCs/>
                <w:sz w:val="24"/>
                <w:szCs w:val="24"/>
              </w:rPr>
              <w:t>Consiliul Legislativ și</w:t>
            </w:r>
            <w:r w:rsidRPr="00461C3A">
              <w:rPr>
                <w:sz w:val="24"/>
                <w:szCs w:val="24"/>
              </w:rPr>
              <w:t xml:space="preserve"> Consiliul Economic şi Social.</w:t>
            </w:r>
          </w:p>
          <w:p w:rsidR="004F1081" w:rsidRPr="00461C3A" w:rsidRDefault="004F1081">
            <w:pPr>
              <w:ind w:left="113" w:right="113"/>
            </w:pPr>
          </w:p>
        </w:tc>
        <w:tc>
          <w:tcPr>
            <w:tcW w:w="2778" w:type="dxa"/>
            <w:tcBorders>
              <w:left w:val="single" w:sz="4" w:space="0" w:color="00000A"/>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495"/>
        </w:trPr>
        <w:tc>
          <w:tcPr>
            <w:tcW w:w="267" w:type="dxa"/>
            <w:tcBorders>
              <w:right w:val="single" w:sz="4" w:space="0" w:color="00000A"/>
            </w:tcBorders>
            <w:shd w:val="clear" w:color="auto" w:fill="auto"/>
          </w:tcPr>
          <w:p w:rsidR="004F1081" w:rsidRPr="00461C3A" w:rsidRDefault="004F1081">
            <w:pPr>
              <w:pStyle w:val="TableContents"/>
              <w:snapToGrid w:val="0"/>
              <w:rPr>
                <w:sz w:val="24"/>
                <w:szCs w:val="24"/>
              </w:rPr>
            </w:pPr>
          </w:p>
        </w:tc>
        <w:tc>
          <w:tcPr>
            <w:tcW w:w="5649" w:type="dxa"/>
            <w:gridSpan w:val="5"/>
            <w:tcBorders>
              <w:left w:val="single" w:sz="4" w:space="0" w:color="00000A"/>
              <w:right w:val="single" w:sz="4" w:space="0" w:color="00000A"/>
            </w:tcBorders>
            <w:shd w:val="clear" w:color="auto" w:fill="auto"/>
            <w:vAlign w:val="center"/>
          </w:tcPr>
          <w:p w:rsidR="004F1081" w:rsidRPr="00461C3A" w:rsidRDefault="00350CB2">
            <w:pPr>
              <w:ind w:left="113" w:right="113"/>
              <w:jc w:val="both"/>
            </w:pPr>
            <w:r w:rsidRPr="00461C3A">
              <w:rPr>
                <w:bCs/>
                <w:sz w:val="24"/>
                <w:szCs w:val="24"/>
              </w:rPr>
              <w:t>b) Consiliul Suprem de Apărare a Ţării</w:t>
            </w:r>
          </w:p>
        </w:tc>
        <w:tc>
          <w:tcPr>
            <w:tcW w:w="4508" w:type="dxa"/>
            <w:gridSpan w:val="4"/>
            <w:vMerge/>
            <w:tcBorders>
              <w:left w:val="single" w:sz="4" w:space="0" w:color="00000A"/>
              <w:right w:val="single" w:sz="4" w:space="0" w:color="00000A"/>
            </w:tcBorders>
            <w:shd w:val="clear" w:color="auto" w:fill="auto"/>
            <w:vAlign w:val="center"/>
          </w:tcPr>
          <w:p w:rsidR="004F1081" w:rsidRPr="00461C3A" w:rsidRDefault="004F1081">
            <w:pPr>
              <w:ind w:left="113" w:right="113"/>
              <w:rPr>
                <w:sz w:val="24"/>
                <w:szCs w:val="24"/>
              </w:rPr>
            </w:pPr>
          </w:p>
        </w:tc>
        <w:tc>
          <w:tcPr>
            <w:tcW w:w="2778" w:type="dxa"/>
            <w:tcBorders>
              <w:left w:val="single" w:sz="4" w:space="0" w:color="00000A"/>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495"/>
        </w:trPr>
        <w:tc>
          <w:tcPr>
            <w:tcW w:w="267" w:type="dxa"/>
            <w:tcBorders>
              <w:right w:val="single" w:sz="4" w:space="0" w:color="00000A"/>
            </w:tcBorders>
            <w:shd w:val="clear" w:color="auto" w:fill="auto"/>
          </w:tcPr>
          <w:p w:rsidR="004F1081" w:rsidRPr="00461C3A" w:rsidRDefault="004F1081">
            <w:pPr>
              <w:pStyle w:val="TableContents"/>
              <w:snapToGrid w:val="0"/>
              <w:rPr>
                <w:sz w:val="24"/>
                <w:szCs w:val="24"/>
              </w:rPr>
            </w:pPr>
          </w:p>
        </w:tc>
        <w:tc>
          <w:tcPr>
            <w:tcW w:w="5649" w:type="dxa"/>
            <w:gridSpan w:val="5"/>
            <w:tcBorders>
              <w:left w:val="single" w:sz="4" w:space="0" w:color="00000A"/>
              <w:right w:val="single" w:sz="4" w:space="0" w:color="00000A"/>
            </w:tcBorders>
            <w:shd w:val="clear" w:color="auto" w:fill="auto"/>
            <w:vAlign w:val="center"/>
          </w:tcPr>
          <w:p w:rsidR="004F1081" w:rsidRPr="00461C3A" w:rsidRDefault="00350CB2">
            <w:pPr>
              <w:ind w:left="113" w:right="113"/>
              <w:jc w:val="both"/>
            </w:pPr>
            <w:r w:rsidRPr="00461C3A">
              <w:rPr>
                <w:bCs/>
                <w:sz w:val="24"/>
                <w:szCs w:val="24"/>
              </w:rPr>
              <w:t>c) Consiliul Economic şi Social</w:t>
            </w:r>
          </w:p>
        </w:tc>
        <w:tc>
          <w:tcPr>
            <w:tcW w:w="4508" w:type="dxa"/>
            <w:gridSpan w:val="4"/>
            <w:vMerge/>
            <w:tcBorders>
              <w:left w:val="single" w:sz="4" w:space="0" w:color="00000A"/>
              <w:right w:val="single" w:sz="4" w:space="0" w:color="00000A"/>
            </w:tcBorders>
            <w:shd w:val="clear" w:color="auto" w:fill="auto"/>
            <w:vAlign w:val="center"/>
          </w:tcPr>
          <w:p w:rsidR="004F1081" w:rsidRPr="00461C3A" w:rsidRDefault="004F1081">
            <w:pPr>
              <w:ind w:left="113" w:right="113"/>
              <w:rPr>
                <w:sz w:val="24"/>
                <w:szCs w:val="24"/>
              </w:rPr>
            </w:pPr>
          </w:p>
        </w:tc>
        <w:tc>
          <w:tcPr>
            <w:tcW w:w="2778" w:type="dxa"/>
            <w:tcBorders>
              <w:left w:val="single" w:sz="4" w:space="0" w:color="00000A"/>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495"/>
        </w:trPr>
        <w:tc>
          <w:tcPr>
            <w:tcW w:w="267" w:type="dxa"/>
            <w:tcBorders>
              <w:right w:val="single" w:sz="4" w:space="0" w:color="00000A"/>
            </w:tcBorders>
            <w:shd w:val="clear" w:color="auto" w:fill="auto"/>
          </w:tcPr>
          <w:p w:rsidR="004F1081" w:rsidRPr="00461C3A" w:rsidRDefault="004F1081">
            <w:pPr>
              <w:pStyle w:val="TableContents"/>
              <w:snapToGrid w:val="0"/>
              <w:rPr>
                <w:sz w:val="24"/>
                <w:szCs w:val="24"/>
              </w:rPr>
            </w:pPr>
          </w:p>
        </w:tc>
        <w:tc>
          <w:tcPr>
            <w:tcW w:w="5649" w:type="dxa"/>
            <w:gridSpan w:val="5"/>
            <w:tcBorders>
              <w:left w:val="single" w:sz="4" w:space="0" w:color="00000A"/>
              <w:right w:val="single" w:sz="4" w:space="0" w:color="00000A"/>
            </w:tcBorders>
            <w:shd w:val="clear" w:color="auto" w:fill="auto"/>
            <w:vAlign w:val="center"/>
          </w:tcPr>
          <w:p w:rsidR="004F1081" w:rsidRPr="00461C3A" w:rsidRDefault="00350CB2">
            <w:pPr>
              <w:ind w:left="113" w:right="113"/>
              <w:jc w:val="both"/>
            </w:pPr>
            <w:r w:rsidRPr="00461C3A">
              <w:rPr>
                <w:bCs/>
                <w:sz w:val="24"/>
                <w:szCs w:val="24"/>
              </w:rPr>
              <w:t>d) Consiliul Concurenţei</w:t>
            </w:r>
          </w:p>
        </w:tc>
        <w:tc>
          <w:tcPr>
            <w:tcW w:w="4508" w:type="dxa"/>
            <w:gridSpan w:val="4"/>
            <w:vMerge/>
            <w:tcBorders>
              <w:left w:val="single" w:sz="4" w:space="0" w:color="00000A"/>
              <w:right w:val="single" w:sz="4" w:space="0" w:color="00000A"/>
            </w:tcBorders>
            <w:shd w:val="clear" w:color="auto" w:fill="auto"/>
            <w:vAlign w:val="center"/>
          </w:tcPr>
          <w:p w:rsidR="004F1081" w:rsidRPr="00461C3A" w:rsidRDefault="004F1081">
            <w:pPr>
              <w:ind w:left="113" w:right="113"/>
              <w:rPr>
                <w:sz w:val="24"/>
                <w:szCs w:val="24"/>
              </w:rPr>
            </w:pPr>
          </w:p>
        </w:tc>
        <w:tc>
          <w:tcPr>
            <w:tcW w:w="2778" w:type="dxa"/>
            <w:tcBorders>
              <w:left w:val="single" w:sz="4" w:space="0" w:color="00000A"/>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495"/>
        </w:trPr>
        <w:tc>
          <w:tcPr>
            <w:tcW w:w="267" w:type="dxa"/>
            <w:tcBorders>
              <w:right w:val="single" w:sz="4" w:space="0" w:color="00000A"/>
            </w:tcBorders>
            <w:shd w:val="clear" w:color="auto" w:fill="auto"/>
          </w:tcPr>
          <w:p w:rsidR="004F1081" w:rsidRPr="00461C3A" w:rsidRDefault="004F1081">
            <w:pPr>
              <w:pStyle w:val="TableContents"/>
              <w:snapToGrid w:val="0"/>
              <w:rPr>
                <w:sz w:val="24"/>
                <w:szCs w:val="24"/>
              </w:rPr>
            </w:pPr>
          </w:p>
        </w:tc>
        <w:tc>
          <w:tcPr>
            <w:tcW w:w="5649" w:type="dxa"/>
            <w:gridSpan w:val="5"/>
            <w:tcBorders>
              <w:left w:val="single" w:sz="4" w:space="0" w:color="00000A"/>
              <w:right w:val="single" w:sz="4" w:space="0" w:color="00000A"/>
            </w:tcBorders>
            <w:shd w:val="clear" w:color="auto" w:fill="auto"/>
            <w:vAlign w:val="center"/>
          </w:tcPr>
          <w:p w:rsidR="004F1081" w:rsidRPr="00461C3A" w:rsidRDefault="00350CB2">
            <w:pPr>
              <w:ind w:left="113" w:right="113"/>
              <w:jc w:val="both"/>
            </w:pPr>
            <w:r w:rsidRPr="00461C3A">
              <w:rPr>
                <w:bCs/>
                <w:sz w:val="24"/>
                <w:szCs w:val="24"/>
              </w:rPr>
              <w:t>e) Curtea de conturi</w:t>
            </w:r>
          </w:p>
        </w:tc>
        <w:tc>
          <w:tcPr>
            <w:tcW w:w="4508" w:type="dxa"/>
            <w:gridSpan w:val="4"/>
            <w:vMerge/>
            <w:tcBorders>
              <w:left w:val="single" w:sz="4" w:space="0" w:color="00000A"/>
              <w:right w:val="single" w:sz="4" w:space="0" w:color="00000A"/>
            </w:tcBorders>
            <w:shd w:val="clear" w:color="auto" w:fill="auto"/>
            <w:vAlign w:val="center"/>
          </w:tcPr>
          <w:p w:rsidR="004F1081" w:rsidRPr="00461C3A" w:rsidRDefault="004F1081">
            <w:pPr>
              <w:ind w:left="113" w:right="113"/>
              <w:rPr>
                <w:sz w:val="24"/>
                <w:szCs w:val="24"/>
              </w:rPr>
            </w:pPr>
          </w:p>
        </w:tc>
        <w:tc>
          <w:tcPr>
            <w:tcW w:w="2778" w:type="dxa"/>
            <w:tcBorders>
              <w:left w:val="single" w:sz="4" w:space="0" w:color="00000A"/>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495"/>
        </w:trPr>
        <w:tc>
          <w:tcPr>
            <w:tcW w:w="267" w:type="dxa"/>
            <w:tcBorders>
              <w:right w:val="single" w:sz="4" w:space="0" w:color="00000A"/>
            </w:tcBorders>
            <w:shd w:val="clear" w:color="auto" w:fill="auto"/>
          </w:tcPr>
          <w:p w:rsidR="004F1081" w:rsidRPr="00461C3A" w:rsidRDefault="004F1081">
            <w:pPr>
              <w:pStyle w:val="TableContents"/>
              <w:snapToGrid w:val="0"/>
              <w:rPr>
                <w:sz w:val="24"/>
                <w:szCs w:val="24"/>
              </w:rPr>
            </w:pPr>
          </w:p>
        </w:tc>
        <w:tc>
          <w:tcPr>
            <w:tcW w:w="5649" w:type="dxa"/>
            <w:gridSpan w:val="5"/>
            <w:tcBorders>
              <w:left w:val="single" w:sz="4" w:space="0" w:color="00000A"/>
              <w:bottom w:val="single" w:sz="4" w:space="0" w:color="00000A"/>
              <w:right w:val="single" w:sz="4" w:space="0" w:color="00000A"/>
            </w:tcBorders>
            <w:shd w:val="clear" w:color="auto" w:fill="auto"/>
            <w:vAlign w:val="center"/>
          </w:tcPr>
          <w:p w:rsidR="004F1081" w:rsidRPr="00461C3A" w:rsidRDefault="00350CB2" w:rsidP="005B05D2">
            <w:pPr>
              <w:ind w:left="113" w:right="113"/>
              <w:jc w:val="both"/>
            </w:pPr>
            <w:r w:rsidRPr="00461C3A">
              <w:rPr>
                <w:bCs/>
                <w:sz w:val="24"/>
                <w:szCs w:val="24"/>
              </w:rPr>
              <w:t>6) Alte informaţii</w:t>
            </w:r>
          </w:p>
        </w:tc>
        <w:tc>
          <w:tcPr>
            <w:tcW w:w="4508" w:type="dxa"/>
            <w:gridSpan w:val="4"/>
            <w:vMerge/>
            <w:tcBorders>
              <w:left w:val="single" w:sz="4" w:space="0" w:color="00000A"/>
              <w:right w:val="single" w:sz="4" w:space="0" w:color="00000A"/>
            </w:tcBorders>
            <w:shd w:val="clear" w:color="auto" w:fill="auto"/>
            <w:vAlign w:val="center"/>
          </w:tcPr>
          <w:p w:rsidR="004F1081" w:rsidRPr="00461C3A" w:rsidRDefault="004F1081">
            <w:pPr>
              <w:ind w:left="113" w:right="113"/>
              <w:rPr>
                <w:sz w:val="24"/>
                <w:szCs w:val="24"/>
              </w:rPr>
            </w:pPr>
          </w:p>
        </w:tc>
        <w:tc>
          <w:tcPr>
            <w:tcW w:w="2778" w:type="dxa"/>
            <w:tcBorders>
              <w:left w:val="single" w:sz="4" w:space="0" w:color="00000A"/>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803"/>
        </w:trPr>
        <w:tc>
          <w:tcPr>
            <w:tcW w:w="267" w:type="dxa"/>
            <w:shd w:val="clear" w:color="auto" w:fill="auto"/>
          </w:tcPr>
          <w:p w:rsidR="004F1081" w:rsidRPr="00461C3A" w:rsidRDefault="004F1081">
            <w:pPr>
              <w:pStyle w:val="TableContents"/>
              <w:snapToGrid w:val="0"/>
              <w:rPr>
                <w:sz w:val="24"/>
                <w:szCs w:val="24"/>
              </w:rPr>
            </w:pPr>
          </w:p>
        </w:tc>
        <w:tc>
          <w:tcPr>
            <w:tcW w:w="10157" w:type="dxa"/>
            <w:gridSpan w:val="9"/>
            <w:tcBorders>
              <w:top w:val="single" w:sz="4" w:space="0" w:color="00000A"/>
              <w:left w:val="single" w:sz="4" w:space="0" w:color="000001"/>
              <w:bottom w:val="single" w:sz="4" w:space="0" w:color="000001"/>
            </w:tcBorders>
            <w:shd w:val="clear" w:color="auto" w:fill="auto"/>
            <w:vAlign w:val="center"/>
          </w:tcPr>
          <w:p w:rsidR="008F6239" w:rsidRDefault="008F6239">
            <w:pPr>
              <w:jc w:val="center"/>
              <w:rPr>
                <w:b/>
                <w:bCs/>
                <w:sz w:val="24"/>
                <w:szCs w:val="24"/>
              </w:rPr>
            </w:pPr>
          </w:p>
          <w:p w:rsidR="004F1081" w:rsidRPr="00461C3A" w:rsidRDefault="00350CB2">
            <w:pPr>
              <w:jc w:val="center"/>
            </w:pPr>
            <w:r w:rsidRPr="00461C3A">
              <w:rPr>
                <w:b/>
                <w:bCs/>
                <w:sz w:val="24"/>
                <w:szCs w:val="24"/>
              </w:rPr>
              <w:t>Secţiunea a 7-a</w:t>
            </w:r>
          </w:p>
          <w:p w:rsidR="004F1081" w:rsidRDefault="00350CB2" w:rsidP="00F666E8">
            <w:pPr>
              <w:jc w:val="center"/>
              <w:rPr>
                <w:b/>
                <w:bCs/>
                <w:sz w:val="24"/>
                <w:szCs w:val="24"/>
              </w:rPr>
            </w:pPr>
            <w:r w:rsidRPr="00461C3A">
              <w:rPr>
                <w:b/>
                <w:bCs/>
                <w:sz w:val="24"/>
                <w:szCs w:val="24"/>
              </w:rPr>
              <w:t>Activităţi de informare publică privind elaborarea și implementarea proiectului de act normativ</w:t>
            </w:r>
          </w:p>
          <w:p w:rsidR="008F6239" w:rsidRDefault="008F6239" w:rsidP="00F666E8">
            <w:pPr>
              <w:jc w:val="center"/>
              <w:rPr>
                <w:b/>
                <w:bCs/>
                <w:sz w:val="24"/>
                <w:szCs w:val="24"/>
              </w:rPr>
            </w:pPr>
          </w:p>
          <w:p w:rsidR="008F6239" w:rsidRPr="00461C3A" w:rsidRDefault="008F6239" w:rsidP="00F666E8">
            <w:pPr>
              <w:jc w:val="center"/>
            </w:pPr>
          </w:p>
        </w:tc>
        <w:tc>
          <w:tcPr>
            <w:tcW w:w="2778" w:type="dxa"/>
            <w:tcBorders>
              <w:left w:val="single" w:sz="4" w:space="0" w:color="000001"/>
            </w:tcBorders>
            <w:shd w:val="clear" w:color="auto" w:fill="auto"/>
          </w:tcPr>
          <w:p w:rsidR="004F1081" w:rsidRPr="00461C3A" w:rsidRDefault="004F1081">
            <w:pPr>
              <w:snapToGrid w:val="0"/>
              <w:rPr>
                <w:b/>
                <w:bCs/>
                <w:sz w:val="24"/>
                <w:szCs w:val="24"/>
              </w:rPr>
            </w:pPr>
          </w:p>
        </w:tc>
        <w:tc>
          <w:tcPr>
            <w:tcW w:w="30" w:type="dxa"/>
            <w:shd w:val="clear" w:color="auto" w:fill="auto"/>
          </w:tcPr>
          <w:p w:rsidR="004F1081" w:rsidRPr="00461C3A" w:rsidRDefault="004F1081"/>
        </w:tc>
      </w:tr>
      <w:tr w:rsidR="00461C3A" w:rsidRPr="00461C3A" w:rsidTr="00795BF0">
        <w:trPr>
          <w:trHeight w:val="445"/>
        </w:trPr>
        <w:tc>
          <w:tcPr>
            <w:tcW w:w="267" w:type="dxa"/>
            <w:shd w:val="clear" w:color="auto" w:fill="auto"/>
          </w:tcPr>
          <w:p w:rsidR="004F1081" w:rsidRPr="00461C3A" w:rsidRDefault="004F1081">
            <w:pPr>
              <w:pStyle w:val="TableContents"/>
              <w:snapToGrid w:val="0"/>
              <w:rPr>
                <w:sz w:val="24"/>
                <w:szCs w:val="24"/>
              </w:rPr>
            </w:pPr>
          </w:p>
        </w:tc>
        <w:tc>
          <w:tcPr>
            <w:tcW w:w="5649" w:type="dxa"/>
            <w:gridSpan w:val="5"/>
            <w:tcBorders>
              <w:top w:val="single" w:sz="4" w:space="0" w:color="000001"/>
              <w:left w:val="single" w:sz="4" w:space="0" w:color="000001"/>
              <w:bottom w:val="single" w:sz="4" w:space="0" w:color="000001"/>
            </w:tcBorders>
            <w:shd w:val="clear" w:color="auto" w:fill="auto"/>
            <w:vAlign w:val="center"/>
          </w:tcPr>
          <w:p w:rsidR="004F1081" w:rsidRPr="00461C3A" w:rsidRDefault="00350CB2" w:rsidP="005B05D2">
            <w:pPr>
              <w:ind w:right="113"/>
              <w:jc w:val="both"/>
            </w:pPr>
            <w:r w:rsidRPr="00461C3A">
              <w:rPr>
                <w:bCs/>
                <w:sz w:val="24"/>
                <w:szCs w:val="24"/>
              </w:rPr>
              <w:t>1) Informarea societăţii civile cu privire la necesitatea elaborării proiectului de act normativ</w:t>
            </w:r>
          </w:p>
        </w:tc>
        <w:tc>
          <w:tcPr>
            <w:tcW w:w="4508"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bCs/>
                <w:sz w:val="24"/>
                <w:szCs w:val="24"/>
                <w:lang w:eastAsia="ro-RO"/>
              </w:rPr>
              <w:t xml:space="preserve">Proiectul de act normativ s-a publicat pe site-ul Ministerului Finanţelor Publice potrivit dispozițiilor Legii nr. 52/2003 </w:t>
            </w:r>
            <w:r w:rsidRPr="00461C3A">
              <w:rPr>
                <w:sz w:val="24"/>
                <w:szCs w:val="24"/>
                <w:lang w:eastAsia="ro-RO"/>
              </w:rPr>
              <w:t>privind transparenţa decizională în administraţia publică, republicată</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407"/>
        </w:trPr>
        <w:tc>
          <w:tcPr>
            <w:tcW w:w="267" w:type="dxa"/>
            <w:shd w:val="clear" w:color="auto" w:fill="auto"/>
          </w:tcPr>
          <w:p w:rsidR="004F1081" w:rsidRPr="00461C3A" w:rsidRDefault="004F1081">
            <w:pPr>
              <w:pStyle w:val="TableContents"/>
              <w:snapToGrid w:val="0"/>
              <w:rPr>
                <w:sz w:val="24"/>
                <w:szCs w:val="24"/>
              </w:rPr>
            </w:pPr>
          </w:p>
        </w:tc>
        <w:tc>
          <w:tcPr>
            <w:tcW w:w="5649" w:type="dxa"/>
            <w:gridSpan w:val="5"/>
            <w:tcBorders>
              <w:top w:val="single" w:sz="4" w:space="0" w:color="000001"/>
              <w:left w:val="single" w:sz="4" w:space="0" w:color="000001"/>
              <w:bottom w:val="single" w:sz="4" w:space="0" w:color="000001"/>
            </w:tcBorders>
            <w:shd w:val="clear" w:color="auto" w:fill="auto"/>
            <w:vAlign w:val="center"/>
          </w:tcPr>
          <w:p w:rsidR="00AE66BA" w:rsidRDefault="00350CB2" w:rsidP="00F666E8">
            <w:pPr>
              <w:ind w:left="113" w:right="113"/>
              <w:jc w:val="both"/>
              <w:rPr>
                <w:bCs/>
                <w:sz w:val="24"/>
                <w:szCs w:val="24"/>
              </w:rPr>
            </w:pPr>
            <w:r w:rsidRPr="00461C3A">
              <w:rPr>
                <w:bCs/>
                <w:sz w:val="24"/>
                <w:szCs w:val="24"/>
              </w:rPr>
              <w:t>2) Informarea societăţii civile cu privire la eventualul impact asupra mediului în urma implementarii proiectului de act normativ, precum şi efectele asupra sănătăţii şi securităţii cetăţenilor sau diversităţii biologice</w:t>
            </w:r>
          </w:p>
          <w:p w:rsidR="008F6239" w:rsidRDefault="008F6239" w:rsidP="00F666E8">
            <w:pPr>
              <w:ind w:left="113" w:right="113"/>
              <w:jc w:val="both"/>
              <w:rPr>
                <w:bCs/>
                <w:sz w:val="24"/>
                <w:szCs w:val="24"/>
              </w:rPr>
            </w:pPr>
          </w:p>
          <w:p w:rsidR="008F6239" w:rsidRPr="00461C3A" w:rsidRDefault="008F6239" w:rsidP="00F666E8">
            <w:pPr>
              <w:ind w:left="113" w:right="113"/>
              <w:jc w:val="both"/>
              <w:rPr>
                <w:bCs/>
                <w:sz w:val="24"/>
                <w:szCs w:val="24"/>
              </w:rPr>
            </w:pPr>
          </w:p>
        </w:tc>
        <w:tc>
          <w:tcPr>
            <w:tcW w:w="4508"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sz w:val="24"/>
                <w:szCs w:val="24"/>
              </w:rPr>
              <w:t>Nu este cazul.</w:t>
            </w: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410"/>
        </w:trPr>
        <w:tc>
          <w:tcPr>
            <w:tcW w:w="267" w:type="dxa"/>
            <w:shd w:val="clear" w:color="auto" w:fill="auto"/>
          </w:tcPr>
          <w:p w:rsidR="004F1081" w:rsidRPr="00461C3A" w:rsidRDefault="004F1081">
            <w:pPr>
              <w:pStyle w:val="TableContents"/>
              <w:snapToGrid w:val="0"/>
              <w:rPr>
                <w:sz w:val="24"/>
                <w:szCs w:val="24"/>
              </w:rPr>
            </w:pPr>
          </w:p>
        </w:tc>
        <w:tc>
          <w:tcPr>
            <w:tcW w:w="5649" w:type="dxa"/>
            <w:gridSpan w:val="5"/>
            <w:tcBorders>
              <w:top w:val="single" w:sz="4" w:space="0" w:color="000001"/>
              <w:left w:val="single" w:sz="4" w:space="0" w:color="000001"/>
              <w:bottom w:val="single" w:sz="4" w:space="0" w:color="000001"/>
            </w:tcBorders>
            <w:shd w:val="clear" w:color="auto" w:fill="auto"/>
            <w:vAlign w:val="center"/>
          </w:tcPr>
          <w:p w:rsidR="004F1081" w:rsidRDefault="00350CB2" w:rsidP="005B05D2">
            <w:pPr>
              <w:ind w:left="113" w:right="113"/>
              <w:rPr>
                <w:bCs/>
                <w:sz w:val="24"/>
                <w:szCs w:val="24"/>
              </w:rPr>
            </w:pPr>
            <w:r w:rsidRPr="00461C3A">
              <w:rPr>
                <w:bCs/>
                <w:sz w:val="24"/>
                <w:szCs w:val="24"/>
              </w:rPr>
              <w:t>3) Alte informaţii</w:t>
            </w:r>
          </w:p>
          <w:p w:rsidR="008F6239" w:rsidRDefault="008F6239" w:rsidP="005B05D2">
            <w:pPr>
              <w:ind w:left="113" w:right="113"/>
              <w:rPr>
                <w:bCs/>
                <w:sz w:val="24"/>
                <w:szCs w:val="24"/>
              </w:rPr>
            </w:pPr>
          </w:p>
          <w:p w:rsidR="008F6239" w:rsidRDefault="008F6239" w:rsidP="005B05D2">
            <w:pPr>
              <w:ind w:left="113" w:right="113"/>
              <w:rPr>
                <w:bCs/>
                <w:sz w:val="24"/>
                <w:szCs w:val="24"/>
              </w:rPr>
            </w:pPr>
          </w:p>
          <w:p w:rsidR="008F6239" w:rsidRPr="00461C3A" w:rsidRDefault="008F6239" w:rsidP="005B05D2">
            <w:pPr>
              <w:ind w:left="113" w:right="113"/>
            </w:pPr>
          </w:p>
        </w:tc>
        <w:tc>
          <w:tcPr>
            <w:tcW w:w="4508"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350CB2">
            <w:r w:rsidRPr="00461C3A">
              <w:rPr>
                <w:sz w:val="24"/>
                <w:szCs w:val="24"/>
              </w:rPr>
              <w:t>Nu este cazul.</w:t>
            </w:r>
          </w:p>
          <w:p w:rsidR="004F1081" w:rsidRPr="00461C3A" w:rsidRDefault="004F1081">
            <w:pPr>
              <w:rPr>
                <w:sz w:val="24"/>
                <w:szCs w:val="24"/>
              </w:rPr>
            </w:pPr>
          </w:p>
        </w:tc>
        <w:tc>
          <w:tcPr>
            <w:tcW w:w="2778" w:type="dxa"/>
            <w:tcBorders>
              <w:left w:val="single" w:sz="4" w:space="0" w:color="000001"/>
            </w:tcBorders>
            <w:shd w:val="clear" w:color="auto" w:fill="auto"/>
          </w:tcPr>
          <w:p w:rsidR="004F1081" w:rsidRPr="00461C3A" w:rsidRDefault="004F1081">
            <w:pPr>
              <w:snapToGrid w:val="0"/>
              <w:rPr>
                <w:sz w:val="24"/>
                <w:szCs w:val="24"/>
              </w:rPr>
            </w:pPr>
          </w:p>
        </w:tc>
        <w:tc>
          <w:tcPr>
            <w:tcW w:w="30" w:type="dxa"/>
            <w:shd w:val="clear" w:color="auto" w:fill="auto"/>
          </w:tcPr>
          <w:p w:rsidR="004F1081" w:rsidRPr="00461C3A" w:rsidRDefault="004F1081"/>
        </w:tc>
      </w:tr>
      <w:tr w:rsidR="00461C3A" w:rsidRPr="00461C3A" w:rsidTr="00795BF0">
        <w:trPr>
          <w:trHeight w:val="703"/>
        </w:trPr>
        <w:tc>
          <w:tcPr>
            <w:tcW w:w="267" w:type="dxa"/>
            <w:shd w:val="clear" w:color="auto" w:fill="auto"/>
          </w:tcPr>
          <w:p w:rsidR="004F1081" w:rsidRPr="00461C3A" w:rsidRDefault="004F1081">
            <w:pPr>
              <w:snapToGrid w:val="0"/>
              <w:rPr>
                <w:sz w:val="24"/>
                <w:szCs w:val="24"/>
              </w:rPr>
            </w:pPr>
          </w:p>
        </w:tc>
        <w:tc>
          <w:tcPr>
            <w:tcW w:w="10157" w:type="dxa"/>
            <w:gridSpan w:val="9"/>
            <w:tcBorders>
              <w:top w:val="single" w:sz="4" w:space="0" w:color="000001"/>
              <w:left w:val="single" w:sz="4" w:space="0" w:color="000001"/>
              <w:bottom w:val="single" w:sz="4" w:space="0" w:color="000001"/>
            </w:tcBorders>
            <w:shd w:val="clear" w:color="auto" w:fill="auto"/>
            <w:vAlign w:val="center"/>
          </w:tcPr>
          <w:p w:rsidR="004F1081" w:rsidRPr="00461C3A" w:rsidRDefault="004F1081">
            <w:pPr>
              <w:jc w:val="center"/>
              <w:rPr>
                <w:b/>
                <w:bCs/>
                <w:sz w:val="24"/>
                <w:szCs w:val="24"/>
              </w:rPr>
            </w:pPr>
          </w:p>
          <w:p w:rsidR="004F1081" w:rsidRPr="00461C3A" w:rsidRDefault="00350CB2">
            <w:pPr>
              <w:jc w:val="center"/>
            </w:pPr>
            <w:r w:rsidRPr="00461C3A">
              <w:rPr>
                <w:b/>
                <w:bCs/>
                <w:sz w:val="24"/>
                <w:szCs w:val="24"/>
              </w:rPr>
              <w:t>Secţiunea a 8-a</w:t>
            </w:r>
          </w:p>
          <w:p w:rsidR="004F1081" w:rsidRPr="00461C3A" w:rsidRDefault="00350CB2">
            <w:pPr>
              <w:jc w:val="center"/>
            </w:pPr>
            <w:r w:rsidRPr="00461C3A">
              <w:rPr>
                <w:b/>
                <w:bCs/>
                <w:sz w:val="24"/>
                <w:szCs w:val="24"/>
              </w:rPr>
              <w:t>Măsuri de implementare</w:t>
            </w:r>
          </w:p>
          <w:p w:rsidR="004F1081" w:rsidRPr="00461C3A" w:rsidRDefault="004F1081">
            <w:pPr>
              <w:jc w:val="center"/>
              <w:rPr>
                <w:bCs/>
                <w:sz w:val="24"/>
                <w:szCs w:val="24"/>
              </w:rPr>
            </w:pPr>
          </w:p>
        </w:tc>
        <w:tc>
          <w:tcPr>
            <w:tcW w:w="2808" w:type="dxa"/>
            <w:gridSpan w:val="2"/>
            <w:tcBorders>
              <w:left w:val="single" w:sz="4" w:space="0" w:color="000001"/>
            </w:tcBorders>
            <w:shd w:val="clear" w:color="auto" w:fill="auto"/>
          </w:tcPr>
          <w:p w:rsidR="004F1081" w:rsidRPr="00461C3A" w:rsidRDefault="004F1081">
            <w:pPr>
              <w:snapToGrid w:val="0"/>
              <w:rPr>
                <w:sz w:val="24"/>
                <w:szCs w:val="24"/>
              </w:rPr>
            </w:pPr>
          </w:p>
        </w:tc>
      </w:tr>
      <w:tr w:rsidR="00461C3A" w:rsidRPr="00461C3A" w:rsidTr="00795BF0">
        <w:trPr>
          <w:trHeight w:val="1093"/>
        </w:trPr>
        <w:tc>
          <w:tcPr>
            <w:tcW w:w="267" w:type="dxa"/>
            <w:shd w:val="clear" w:color="auto" w:fill="auto"/>
          </w:tcPr>
          <w:p w:rsidR="004F1081" w:rsidRPr="00461C3A" w:rsidRDefault="004F1081">
            <w:pPr>
              <w:pStyle w:val="TableContents"/>
              <w:snapToGrid w:val="0"/>
              <w:rPr>
                <w:sz w:val="24"/>
                <w:szCs w:val="24"/>
              </w:rPr>
            </w:pPr>
          </w:p>
        </w:tc>
        <w:tc>
          <w:tcPr>
            <w:tcW w:w="5649" w:type="dxa"/>
            <w:gridSpan w:val="5"/>
            <w:tcBorders>
              <w:top w:val="single" w:sz="4" w:space="0" w:color="000001"/>
              <w:left w:val="single" w:sz="4" w:space="0" w:color="000001"/>
              <w:bottom w:val="single" w:sz="4" w:space="0" w:color="000001"/>
            </w:tcBorders>
            <w:shd w:val="clear" w:color="auto" w:fill="auto"/>
          </w:tcPr>
          <w:p w:rsidR="004F1081" w:rsidRPr="00461C3A" w:rsidRDefault="00350CB2">
            <w:pPr>
              <w:ind w:left="113" w:right="113"/>
              <w:jc w:val="both"/>
            </w:pPr>
            <w:r w:rsidRPr="00461C3A">
              <w:rPr>
                <w:bCs/>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4508"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sz w:val="24"/>
                <w:szCs w:val="24"/>
                <w:lang w:eastAsia="ro-RO"/>
              </w:rPr>
              <w:t>Proiectul de act normativ nu se referă la acest subiect</w:t>
            </w:r>
          </w:p>
        </w:tc>
        <w:tc>
          <w:tcPr>
            <w:tcW w:w="2808" w:type="dxa"/>
            <w:gridSpan w:val="2"/>
            <w:tcBorders>
              <w:left w:val="single" w:sz="4" w:space="0" w:color="000001"/>
            </w:tcBorders>
            <w:shd w:val="clear" w:color="auto" w:fill="auto"/>
          </w:tcPr>
          <w:p w:rsidR="004F1081" w:rsidRPr="00461C3A" w:rsidRDefault="004F1081">
            <w:pPr>
              <w:snapToGrid w:val="0"/>
              <w:rPr>
                <w:sz w:val="24"/>
                <w:szCs w:val="24"/>
              </w:rPr>
            </w:pPr>
          </w:p>
        </w:tc>
      </w:tr>
      <w:tr w:rsidR="00461C3A" w:rsidRPr="00461C3A" w:rsidTr="00795BF0">
        <w:trPr>
          <w:trHeight w:val="319"/>
        </w:trPr>
        <w:tc>
          <w:tcPr>
            <w:tcW w:w="267" w:type="dxa"/>
            <w:shd w:val="clear" w:color="auto" w:fill="auto"/>
          </w:tcPr>
          <w:p w:rsidR="004F1081" w:rsidRPr="00461C3A" w:rsidRDefault="004F1081">
            <w:pPr>
              <w:pStyle w:val="TableContents"/>
              <w:snapToGrid w:val="0"/>
              <w:rPr>
                <w:sz w:val="24"/>
                <w:szCs w:val="24"/>
              </w:rPr>
            </w:pPr>
          </w:p>
        </w:tc>
        <w:tc>
          <w:tcPr>
            <w:tcW w:w="5649" w:type="dxa"/>
            <w:gridSpan w:val="5"/>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jc w:val="both"/>
            </w:pPr>
            <w:r w:rsidRPr="00461C3A">
              <w:rPr>
                <w:bCs/>
                <w:sz w:val="24"/>
                <w:szCs w:val="24"/>
              </w:rPr>
              <w:t>2) Alte informaţii</w:t>
            </w:r>
          </w:p>
        </w:tc>
        <w:tc>
          <w:tcPr>
            <w:tcW w:w="4508" w:type="dxa"/>
            <w:gridSpan w:val="4"/>
            <w:tcBorders>
              <w:top w:val="single" w:sz="4" w:space="0" w:color="000001"/>
              <w:left w:val="single" w:sz="4" w:space="0" w:color="000001"/>
              <w:bottom w:val="single" w:sz="4" w:space="0" w:color="000001"/>
            </w:tcBorders>
            <w:shd w:val="clear" w:color="auto" w:fill="auto"/>
            <w:vAlign w:val="center"/>
          </w:tcPr>
          <w:p w:rsidR="004F1081" w:rsidRPr="00461C3A" w:rsidRDefault="00350CB2">
            <w:pPr>
              <w:ind w:left="113" w:right="113"/>
            </w:pPr>
            <w:r w:rsidRPr="00461C3A">
              <w:rPr>
                <w:sz w:val="24"/>
                <w:szCs w:val="24"/>
              </w:rPr>
              <w:t>Nu este cazul</w:t>
            </w:r>
          </w:p>
        </w:tc>
        <w:tc>
          <w:tcPr>
            <w:tcW w:w="2808" w:type="dxa"/>
            <w:gridSpan w:val="2"/>
            <w:tcBorders>
              <w:left w:val="single" w:sz="4" w:space="0" w:color="000001"/>
            </w:tcBorders>
            <w:shd w:val="clear" w:color="auto" w:fill="auto"/>
          </w:tcPr>
          <w:p w:rsidR="004F1081" w:rsidRPr="00461C3A" w:rsidRDefault="004F1081">
            <w:pPr>
              <w:snapToGrid w:val="0"/>
              <w:rPr>
                <w:sz w:val="24"/>
                <w:szCs w:val="24"/>
              </w:rPr>
            </w:pPr>
          </w:p>
        </w:tc>
      </w:tr>
    </w:tbl>
    <w:p w:rsidR="004F1081" w:rsidRPr="00461C3A" w:rsidRDefault="004F1081">
      <w:pPr>
        <w:jc w:val="both"/>
        <w:rPr>
          <w:sz w:val="24"/>
          <w:szCs w:val="24"/>
        </w:rPr>
      </w:pPr>
    </w:p>
    <w:p w:rsidR="004F1081" w:rsidRPr="00461C3A" w:rsidRDefault="00350CB2">
      <w:pPr>
        <w:suppressAutoHyphens w:val="0"/>
        <w:jc w:val="both"/>
      </w:pPr>
      <w:r w:rsidRPr="00461C3A">
        <w:rPr>
          <w:sz w:val="24"/>
          <w:szCs w:val="24"/>
        </w:rPr>
        <w:t xml:space="preserve">Având în vedere cele prezentate, a fost elaborat </w:t>
      </w:r>
      <w:r w:rsidRPr="00461C3A">
        <w:rPr>
          <w:i/>
          <w:sz w:val="24"/>
          <w:szCs w:val="24"/>
        </w:rPr>
        <w:t xml:space="preserve">proiectul de </w:t>
      </w:r>
      <w:r w:rsidRPr="00461C3A">
        <w:rPr>
          <w:bCs/>
          <w:i/>
          <w:sz w:val="24"/>
          <w:szCs w:val="24"/>
          <w:lang w:eastAsia="ro-RO"/>
        </w:rPr>
        <w:t xml:space="preserve">Ordonanță </w:t>
      </w:r>
      <w:r w:rsidRPr="00461C3A">
        <w:rPr>
          <w:bCs/>
          <w:i/>
          <w:iCs/>
          <w:kern w:val="1"/>
          <w:sz w:val="24"/>
          <w:szCs w:val="24"/>
          <w:lang w:eastAsia="ro-RO"/>
        </w:rPr>
        <w:t>privind reglementarea unor măsuri fiscal-bugetare</w:t>
      </w:r>
    </w:p>
    <w:p w:rsidR="004F1081" w:rsidRPr="00461C3A" w:rsidRDefault="004F1081">
      <w:pPr>
        <w:suppressAutoHyphens w:val="0"/>
        <w:ind w:left="-284"/>
        <w:jc w:val="both"/>
        <w:rPr>
          <w:rFonts w:eastAsia="SimSun"/>
          <w:kern w:val="1"/>
          <w:sz w:val="24"/>
          <w:szCs w:val="24"/>
          <w:lang w:bidi="hi-IN"/>
        </w:rPr>
      </w:pPr>
    </w:p>
    <w:tbl>
      <w:tblPr>
        <w:tblW w:w="0" w:type="auto"/>
        <w:tblInd w:w="-176" w:type="dxa"/>
        <w:tblLayout w:type="fixed"/>
        <w:tblLook w:val="0000" w:firstRow="0" w:lastRow="0" w:firstColumn="0" w:lastColumn="0" w:noHBand="0" w:noVBand="0"/>
      </w:tblPr>
      <w:tblGrid>
        <w:gridCol w:w="4814"/>
        <w:gridCol w:w="4814"/>
      </w:tblGrid>
      <w:tr w:rsidR="00461C3A" w:rsidRPr="00461C3A" w:rsidTr="00381608">
        <w:tc>
          <w:tcPr>
            <w:tcW w:w="4814" w:type="dxa"/>
            <w:shd w:val="clear" w:color="auto" w:fill="auto"/>
          </w:tcPr>
          <w:p w:rsidR="004F1081" w:rsidRPr="00461C3A" w:rsidRDefault="00350CB2">
            <w:pPr>
              <w:jc w:val="center"/>
            </w:pPr>
            <w:r w:rsidRPr="00461C3A">
              <w:rPr>
                <w:kern w:val="1"/>
                <w:sz w:val="26"/>
                <w:szCs w:val="26"/>
                <w:lang w:bidi="hi-IN"/>
              </w:rPr>
              <w:t xml:space="preserve">Viceprim-ministru interimar, </w:t>
            </w:r>
            <w:r w:rsidRPr="00461C3A">
              <w:rPr>
                <w:sz w:val="26"/>
                <w:szCs w:val="26"/>
              </w:rPr>
              <w:t>ministrul finanțelor publice</w:t>
            </w:r>
          </w:p>
          <w:p w:rsidR="004F1081" w:rsidRPr="00461C3A" w:rsidRDefault="004F1081">
            <w:pPr>
              <w:jc w:val="center"/>
              <w:rPr>
                <w:b/>
                <w:sz w:val="26"/>
                <w:szCs w:val="26"/>
              </w:rPr>
            </w:pPr>
          </w:p>
          <w:p w:rsidR="004F1081" w:rsidRPr="00461C3A" w:rsidRDefault="00350CB2">
            <w:pPr>
              <w:jc w:val="center"/>
            </w:pPr>
            <w:r w:rsidRPr="00461C3A">
              <w:rPr>
                <w:b/>
                <w:sz w:val="26"/>
                <w:szCs w:val="26"/>
              </w:rPr>
              <w:t>Eugen Orlando TEODOROVICI</w:t>
            </w:r>
          </w:p>
          <w:p w:rsidR="004F1081" w:rsidRPr="00461C3A" w:rsidRDefault="004F1081">
            <w:pPr>
              <w:suppressAutoHyphens w:val="0"/>
              <w:jc w:val="both"/>
              <w:rPr>
                <w:rFonts w:eastAsia="SimSun"/>
                <w:kern w:val="1"/>
                <w:sz w:val="24"/>
                <w:szCs w:val="24"/>
                <w:lang w:bidi="hi-IN"/>
              </w:rPr>
            </w:pPr>
          </w:p>
        </w:tc>
        <w:tc>
          <w:tcPr>
            <w:tcW w:w="4814" w:type="dxa"/>
            <w:shd w:val="clear" w:color="auto" w:fill="auto"/>
          </w:tcPr>
          <w:p w:rsidR="004F1081" w:rsidRPr="00461C3A" w:rsidRDefault="00350CB2">
            <w:pPr>
              <w:jc w:val="center"/>
            </w:pPr>
            <w:r w:rsidRPr="00461C3A">
              <w:rPr>
                <w:kern w:val="1"/>
                <w:sz w:val="26"/>
                <w:szCs w:val="26"/>
                <w:lang w:bidi="hi-IN"/>
              </w:rPr>
              <w:t xml:space="preserve">Viceprim-ministru, ministrul dezvoltării regionale și administrației publice </w:t>
            </w:r>
          </w:p>
          <w:p w:rsidR="004F1081" w:rsidRPr="00461C3A" w:rsidRDefault="004F1081">
            <w:pPr>
              <w:jc w:val="center"/>
              <w:rPr>
                <w:b/>
                <w:kern w:val="1"/>
                <w:sz w:val="26"/>
                <w:szCs w:val="26"/>
                <w:lang w:bidi="hi-IN"/>
              </w:rPr>
            </w:pPr>
          </w:p>
          <w:p w:rsidR="004F1081" w:rsidRPr="00461C3A" w:rsidRDefault="00350CB2">
            <w:pPr>
              <w:jc w:val="center"/>
            </w:pPr>
            <w:r w:rsidRPr="00461C3A">
              <w:rPr>
                <w:b/>
                <w:kern w:val="1"/>
                <w:sz w:val="26"/>
                <w:szCs w:val="26"/>
                <w:lang w:bidi="hi-IN"/>
              </w:rPr>
              <w:t>Daniel SUCIU</w:t>
            </w:r>
          </w:p>
          <w:p w:rsidR="004F1081" w:rsidRPr="00461C3A" w:rsidRDefault="004F1081">
            <w:pPr>
              <w:jc w:val="center"/>
              <w:rPr>
                <w:b/>
                <w:kern w:val="1"/>
                <w:sz w:val="26"/>
                <w:szCs w:val="26"/>
                <w:lang w:bidi="hi-IN"/>
              </w:rPr>
            </w:pPr>
          </w:p>
          <w:p w:rsidR="004F1081" w:rsidRPr="00461C3A" w:rsidRDefault="004F1081">
            <w:pPr>
              <w:suppressAutoHyphens w:val="0"/>
              <w:jc w:val="both"/>
              <w:rPr>
                <w:rFonts w:eastAsia="SimSun"/>
                <w:kern w:val="1"/>
                <w:sz w:val="24"/>
                <w:szCs w:val="24"/>
                <w:lang w:bidi="hi-IN"/>
              </w:rPr>
            </w:pPr>
          </w:p>
        </w:tc>
      </w:tr>
      <w:tr w:rsidR="00461C3A" w:rsidRPr="00461C3A" w:rsidTr="00381608">
        <w:tc>
          <w:tcPr>
            <w:tcW w:w="4814" w:type="dxa"/>
            <w:shd w:val="clear" w:color="auto" w:fill="auto"/>
          </w:tcPr>
          <w:p w:rsidR="004F1081" w:rsidRPr="00461C3A" w:rsidRDefault="00350CB2">
            <w:pPr>
              <w:widowControl w:val="0"/>
              <w:jc w:val="center"/>
            </w:pPr>
            <w:r w:rsidRPr="00461C3A">
              <w:rPr>
                <w:rFonts w:eastAsia="SimSun"/>
                <w:kern w:val="1"/>
                <w:sz w:val="26"/>
                <w:szCs w:val="26"/>
                <w:lang w:bidi="hi-IN"/>
              </w:rPr>
              <w:t>Ministrul educației naționale</w:t>
            </w:r>
            <w:r w:rsidR="000011F0">
              <w:rPr>
                <w:rFonts w:eastAsia="SimSun"/>
                <w:kern w:val="1"/>
                <w:sz w:val="26"/>
                <w:szCs w:val="26"/>
                <w:lang w:bidi="hi-IN"/>
              </w:rPr>
              <w:t xml:space="preserve"> interimar</w:t>
            </w:r>
          </w:p>
          <w:p w:rsidR="004F1081" w:rsidRPr="00461C3A" w:rsidRDefault="004F1081">
            <w:pPr>
              <w:widowControl w:val="0"/>
              <w:jc w:val="center"/>
              <w:rPr>
                <w:rFonts w:eastAsia="SimSun"/>
                <w:kern w:val="1"/>
                <w:sz w:val="26"/>
                <w:szCs w:val="26"/>
                <w:lang w:bidi="hi-IN"/>
              </w:rPr>
            </w:pPr>
          </w:p>
          <w:p w:rsidR="004F1081" w:rsidRPr="00461C3A" w:rsidRDefault="000011F0" w:rsidP="000011F0">
            <w:pPr>
              <w:suppressAutoHyphens w:val="0"/>
              <w:jc w:val="center"/>
              <w:rPr>
                <w:rFonts w:eastAsia="SimSun"/>
                <w:kern w:val="1"/>
                <w:sz w:val="24"/>
                <w:szCs w:val="24"/>
                <w:lang w:bidi="hi-IN"/>
              </w:rPr>
            </w:pPr>
            <w:r w:rsidRPr="000011F0">
              <w:rPr>
                <w:rFonts w:eastAsia="SimSun"/>
                <w:b/>
                <w:kern w:val="1"/>
                <w:sz w:val="26"/>
                <w:szCs w:val="26"/>
                <w:lang w:bidi="hi-IN"/>
              </w:rPr>
              <w:t>Valer-Daniel BREAZ</w:t>
            </w:r>
          </w:p>
        </w:tc>
        <w:tc>
          <w:tcPr>
            <w:tcW w:w="4814" w:type="dxa"/>
            <w:shd w:val="clear" w:color="auto" w:fill="auto"/>
          </w:tcPr>
          <w:p w:rsidR="004F1081" w:rsidRPr="00461C3A" w:rsidRDefault="00350CB2">
            <w:pPr>
              <w:widowControl w:val="0"/>
              <w:jc w:val="center"/>
            </w:pPr>
            <w:r w:rsidRPr="00461C3A">
              <w:rPr>
                <w:rFonts w:eastAsia="SimSun"/>
                <w:kern w:val="1"/>
                <w:sz w:val="26"/>
                <w:szCs w:val="26"/>
                <w:lang w:bidi="hi-IN"/>
              </w:rPr>
              <w:t>Ministrul muncii și justiției sociale</w:t>
            </w:r>
          </w:p>
          <w:p w:rsidR="004F1081" w:rsidRPr="00461C3A" w:rsidRDefault="004F1081">
            <w:pPr>
              <w:widowControl w:val="0"/>
              <w:jc w:val="center"/>
              <w:rPr>
                <w:rFonts w:eastAsia="SimSun"/>
                <w:kern w:val="1"/>
                <w:sz w:val="26"/>
                <w:szCs w:val="26"/>
                <w:lang w:bidi="hi-IN"/>
              </w:rPr>
            </w:pPr>
          </w:p>
          <w:p w:rsidR="004F1081" w:rsidRPr="00461C3A" w:rsidRDefault="00350CB2">
            <w:pPr>
              <w:widowControl w:val="0"/>
              <w:jc w:val="center"/>
            </w:pPr>
            <w:r w:rsidRPr="00461C3A">
              <w:rPr>
                <w:rFonts w:eastAsia="SimSun"/>
                <w:b/>
                <w:kern w:val="1"/>
                <w:sz w:val="26"/>
                <w:szCs w:val="26"/>
                <w:lang w:bidi="hi-IN"/>
              </w:rPr>
              <w:t>Marius-Constantin BUDĂI</w:t>
            </w:r>
          </w:p>
          <w:p w:rsidR="004F1081" w:rsidRPr="00461C3A" w:rsidRDefault="004F1081">
            <w:pPr>
              <w:suppressAutoHyphens w:val="0"/>
              <w:jc w:val="both"/>
              <w:rPr>
                <w:rFonts w:eastAsia="SimSun"/>
                <w:kern w:val="1"/>
                <w:sz w:val="24"/>
                <w:szCs w:val="24"/>
                <w:lang w:bidi="hi-IN"/>
              </w:rPr>
            </w:pPr>
          </w:p>
          <w:p w:rsidR="004F1081" w:rsidRPr="00461C3A" w:rsidRDefault="004F1081">
            <w:pPr>
              <w:suppressAutoHyphens w:val="0"/>
              <w:jc w:val="both"/>
              <w:rPr>
                <w:rFonts w:eastAsia="SimSun"/>
                <w:kern w:val="1"/>
                <w:sz w:val="24"/>
                <w:szCs w:val="24"/>
                <w:lang w:bidi="hi-IN"/>
              </w:rPr>
            </w:pPr>
          </w:p>
        </w:tc>
      </w:tr>
      <w:tr w:rsidR="00461C3A" w:rsidRPr="00461C3A" w:rsidTr="00381608">
        <w:tc>
          <w:tcPr>
            <w:tcW w:w="4814" w:type="dxa"/>
            <w:shd w:val="clear" w:color="auto" w:fill="auto"/>
          </w:tcPr>
          <w:p w:rsidR="004F1081" w:rsidRPr="00461C3A" w:rsidRDefault="00350CB2">
            <w:pPr>
              <w:suppressAutoHyphens w:val="0"/>
              <w:jc w:val="center"/>
            </w:pPr>
            <w:r w:rsidRPr="00461C3A">
              <w:rPr>
                <w:rFonts w:eastAsia="SimSun"/>
                <w:kern w:val="1"/>
                <w:sz w:val="26"/>
                <w:szCs w:val="26"/>
                <w:lang w:bidi="hi-IN"/>
              </w:rPr>
              <w:t>Ministrul sănătății</w:t>
            </w:r>
          </w:p>
          <w:p w:rsidR="004F1081" w:rsidRPr="00461C3A" w:rsidRDefault="004F1081">
            <w:pPr>
              <w:suppressAutoHyphens w:val="0"/>
              <w:jc w:val="center"/>
              <w:rPr>
                <w:rFonts w:eastAsia="SimSun"/>
                <w:kern w:val="1"/>
                <w:sz w:val="26"/>
                <w:szCs w:val="26"/>
                <w:lang w:bidi="hi-IN"/>
              </w:rPr>
            </w:pPr>
          </w:p>
          <w:p w:rsidR="004F1081" w:rsidRPr="00461C3A" w:rsidRDefault="00350CB2">
            <w:pPr>
              <w:suppressAutoHyphens w:val="0"/>
              <w:jc w:val="center"/>
            </w:pPr>
            <w:r w:rsidRPr="00461C3A">
              <w:rPr>
                <w:rFonts w:eastAsia="SimSun"/>
                <w:b/>
                <w:kern w:val="1"/>
                <w:sz w:val="26"/>
                <w:szCs w:val="26"/>
                <w:lang w:bidi="hi-IN"/>
              </w:rPr>
              <w:t>Sorina PINTEA</w:t>
            </w:r>
          </w:p>
          <w:p w:rsidR="004F1081" w:rsidRPr="00461C3A" w:rsidRDefault="004F1081">
            <w:pPr>
              <w:suppressAutoHyphens w:val="0"/>
              <w:jc w:val="center"/>
              <w:rPr>
                <w:rFonts w:eastAsia="SimSun"/>
                <w:b/>
                <w:kern w:val="1"/>
                <w:sz w:val="26"/>
                <w:szCs w:val="26"/>
                <w:lang w:bidi="hi-IN"/>
              </w:rPr>
            </w:pPr>
          </w:p>
          <w:p w:rsidR="004F1081" w:rsidRPr="00461C3A" w:rsidRDefault="004F1081">
            <w:pPr>
              <w:suppressAutoHyphens w:val="0"/>
              <w:jc w:val="center"/>
              <w:rPr>
                <w:rFonts w:eastAsia="SimSun"/>
                <w:b/>
                <w:kern w:val="1"/>
                <w:sz w:val="26"/>
                <w:szCs w:val="26"/>
                <w:lang w:bidi="hi-IN"/>
              </w:rPr>
            </w:pPr>
          </w:p>
        </w:tc>
        <w:tc>
          <w:tcPr>
            <w:tcW w:w="4814" w:type="dxa"/>
            <w:shd w:val="clear" w:color="auto" w:fill="auto"/>
          </w:tcPr>
          <w:p w:rsidR="004F1081" w:rsidRPr="00461C3A" w:rsidRDefault="004F1081">
            <w:pPr>
              <w:suppressAutoHyphens w:val="0"/>
              <w:jc w:val="both"/>
              <w:rPr>
                <w:rFonts w:eastAsia="SimSun"/>
                <w:kern w:val="1"/>
                <w:sz w:val="26"/>
                <w:szCs w:val="26"/>
                <w:lang w:bidi="hi-IN"/>
              </w:rPr>
            </w:pPr>
          </w:p>
        </w:tc>
      </w:tr>
      <w:tr w:rsidR="00461C3A" w:rsidRPr="00461C3A" w:rsidTr="00381608">
        <w:tc>
          <w:tcPr>
            <w:tcW w:w="9628" w:type="dxa"/>
            <w:gridSpan w:val="2"/>
            <w:shd w:val="clear" w:color="auto" w:fill="auto"/>
          </w:tcPr>
          <w:p w:rsidR="00795BF0" w:rsidRPr="00461C3A" w:rsidRDefault="00795BF0">
            <w:pPr>
              <w:suppressAutoHyphens w:val="0"/>
              <w:jc w:val="center"/>
              <w:rPr>
                <w:rFonts w:eastAsia="SimSun"/>
                <w:b/>
                <w:kern w:val="1"/>
                <w:sz w:val="26"/>
                <w:szCs w:val="26"/>
                <w:lang w:bidi="hi-IN"/>
              </w:rPr>
            </w:pPr>
            <w:r w:rsidRPr="00461C3A">
              <w:rPr>
                <w:rFonts w:eastAsia="SimSun"/>
                <w:kern w:val="1"/>
                <w:sz w:val="24"/>
                <w:szCs w:val="24"/>
                <w:u w:val="single"/>
                <w:lang w:bidi="hi-IN"/>
              </w:rPr>
              <w:t>AVIZAT</w:t>
            </w:r>
          </w:p>
          <w:p w:rsidR="00795BF0" w:rsidRPr="00461C3A" w:rsidRDefault="00795BF0">
            <w:pPr>
              <w:suppressAutoHyphens w:val="0"/>
              <w:jc w:val="center"/>
            </w:pPr>
          </w:p>
        </w:tc>
      </w:tr>
      <w:tr w:rsidR="00461C3A" w:rsidRPr="00461C3A" w:rsidTr="00381608">
        <w:tc>
          <w:tcPr>
            <w:tcW w:w="4814" w:type="dxa"/>
            <w:shd w:val="clear" w:color="auto" w:fill="auto"/>
          </w:tcPr>
          <w:p w:rsidR="004F1081" w:rsidRPr="00461C3A" w:rsidRDefault="00350CB2">
            <w:pPr>
              <w:suppressAutoHyphens w:val="0"/>
              <w:jc w:val="center"/>
            </w:pPr>
            <w:r w:rsidRPr="00461C3A">
              <w:rPr>
                <w:rFonts w:eastAsia="SimSun"/>
                <w:kern w:val="1"/>
                <w:sz w:val="26"/>
                <w:szCs w:val="26"/>
                <w:lang w:bidi="hi-IN"/>
              </w:rPr>
              <w:t>Ministrul Justiției</w:t>
            </w:r>
          </w:p>
          <w:p w:rsidR="004F1081" w:rsidRPr="00461C3A" w:rsidRDefault="004F1081">
            <w:pPr>
              <w:suppressAutoHyphens w:val="0"/>
              <w:jc w:val="center"/>
              <w:rPr>
                <w:rFonts w:eastAsia="SimSun"/>
                <w:kern w:val="1"/>
                <w:sz w:val="26"/>
                <w:szCs w:val="26"/>
                <w:lang w:bidi="hi-IN"/>
              </w:rPr>
            </w:pPr>
          </w:p>
          <w:p w:rsidR="004F1081" w:rsidRPr="00461C3A" w:rsidRDefault="004F1081">
            <w:pPr>
              <w:suppressAutoHyphens w:val="0"/>
              <w:jc w:val="center"/>
              <w:rPr>
                <w:rFonts w:eastAsia="SimSun"/>
                <w:b/>
                <w:kern w:val="1"/>
                <w:sz w:val="26"/>
                <w:szCs w:val="26"/>
                <w:lang w:bidi="hi-IN"/>
              </w:rPr>
            </w:pPr>
          </w:p>
          <w:p w:rsidR="004F1081" w:rsidRPr="00461C3A" w:rsidRDefault="00350CB2">
            <w:pPr>
              <w:suppressAutoHyphens w:val="0"/>
              <w:jc w:val="center"/>
            </w:pPr>
            <w:r w:rsidRPr="00461C3A">
              <w:rPr>
                <w:rFonts w:eastAsia="SimSun"/>
                <w:b/>
                <w:kern w:val="1"/>
                <w:sz w:val="26"/>
                <w:szCs w:val="26"/>
                <w:lang w:bidi="hi-IN"/>
              </w:rPr>
              <w:t>Ana BIRCHALL</w:t>
            </w:r>
          </w:p>
          <w:p w:rsidR="004F1081" w:rsidRPr="00461C3A" w:rsidRDefault="004F1081">
            <w:pPr>
              <w:suppressAutoHyphens w:val="0"/>
              <w:jc w:val="center"/>
              <w:rPr>
                <w:rFonts w:eastAsia="SimSun"/>
                <w:kern w:val="1"/>
                <w:sz w:val="26"/>
                <w:szCs w:val="26"/>
                <w:lang w:bidi="hi-IN"/>
              </w:rPr>
            </w:pPr>
          </w:p>
        </w:tc>
        <w:tc>
          <w:tcPr>
            <w:tcW w:w="4814" w:type="dxa"/>
            <w:shd w:val="clear" w:color="auto" w:fill="auto"/>
          </w:tcPr>
          <w:p w:rsidR="004F1081" w:rsidRPr="00461C3A" w:rsidRDefault="00350CB2">
            <w:pPr>
              <w:suppressAutoHyphens w:val="0"/>
              <w:jc w:val="center"/>
            </w:pPr>
            <w:r w:rsidRPr="00461C3A">
              <w:rPr>
                <w:rFonts w:eastAsia="SimSun"/>
                <w:kern w:val="1"/>
                <w:sz w:val="26"/>
                <w:szCs w:val="26"/>
                <w:lang w:bidi="hi-IN"/>
              </w:rPr>
              <w:t>Președintele</w:t>
            </w:r>
          </w:p>
          <w:p w:rsidR="004F1081" w:rsidRPr="00461C3A" w:rsidRDefault="00350CB2">
            <w:pPr>
              <w:suppressAutoHyphens w:val="0"/>
              <w:jc w:val="center"/>
            </w:pPr>
            <w:r w:rsidRPr="00461C3A">
              <w:rPr>
                <w:rFonts w:eastAsia="SimSun"/>
                <w:kern w:val="1"/>
                <w:sz w:val="26"/>
                <w:szCs w:val="26"/>
                <w:lang w:bidi="hi-IN"/>
              </w:rPr>
              <w:t>Casei Naționale de Asigurări de Sănătate</w:t>
            </w:r>
          </w:p>
          <w:p w:rsidR="004F1081" w:rsidRPr="00461C3A" w:rsidRDefault="004F1081">
            <w:pPr>
              <w:suppressAutoHyphens w:val="0"/>
              <w:jc w:val="center"/>
              <w:rPr>
                <w:rFonts w:eastAsia="SimSun"/>
                <w:b/>
                <w:kern w:val="1"/>
                <w:sz w:val="26"/>
                <w:szCs w:val="26"/>
                <w:lang w:bidi="hi-IN"/>
              </w:rPr>
            </w:pPr>
          </w:p>
          <w:p w:rsidR="004F1081" w:rsidRPr="00461C3A" w:rsidRDefault="00350CB2">
            <w:pPr>
              <w:suppressAutoHyphens w:val="0"/>
              <w:jc w:val="center"/>
            </w:pPr>
            <w:r w:rsidRPr="00461C3A">
              <w:rPr>
                <w:rFonts w:eastAsia="SimSun"/>
                <w:b/>
                <w:kern w:val="1"/>
                <w:sz w:val="26"/>
                <w:szCs w:val="26"/>
                <w:lang w:bidi="hi-IN"/>
              </w:rPr>
              <w:t>Vasile CIURCHEA</w:t>
            </w:r>
          </w:p>
          <w:p w:rsidR="004F1081" w:rsidRPr="00461C3A" w:rsidRDefault="004F1081">
            <w:pPr>
              <w:suppressAutoHyphens w:val="0"/>
              <w:jc w:val="both"/>
              <w:rPr>
                <w:rFonts w:eastAsia="SimSun"/>
                <w:kern w:val="1"/>
                <w:sz w:val="26"/>
                <w:szCs w:val="26"/>
                <w:lang w:bidi="hi-IN"/>
              </w:rPr>
            </w:pPr>
          </w:p>
        </w:tc>
      </w:tr>
    </w:tbl>
    <w:p w:rsidR="004F1081" w:rsidRPr="00461C3A" w:rsidRDefault="004F1081">
      <w:pPr>
        <w:suppressAutoHyphens w:val="0"/>
        <w:ind w:left="-284"/>
        <w:jc w:val="both"/>
        <w:rPr>
          <w:rFonts w:eastAsia="SimSun"/>
          <w:kern w:val="1"/>
          <w:sz w:val="26"/>
          <w:szCs w:val="26"/>
          <w:lang w:bidi="hi-IN"/>
        </w:rPr>
      </w:pPr>
    </w:p>
    <w:p w:rsidR="004F1081" w:rsidRPr="000011F0" w:rsidRDefault="004F1081">
      <w:pPr>
        <w:widowControl w:val="0"/>
      </w:pPr>
    </w:p>
    <w:p w:rsidR="004F1081" w:rsidRPr="000011F0" w:rsidRDefault="004F1081">
      <w:pPr>
        <w:widowControl w:val="0"/>
        <w:rPr>
          <w:b/>
          <w:kern w:val="1"/>
          <w:sz w:val="26"/>
          <w:szCs w:val="26"/>
          <w:lang w:bidi="hi-IN"/>
        </w:rPr>
      </w:pPr>
    </w:p>
    <w:p w:rsidR="004F1081" w:rsidRPr="000011F0" w:rsidRDefault="004F1081">
      <w:pPr>
        <w:suppressAutoHyphens w:val="0"/>
        <w:jc w:val="both"/>
        <w:rPr>
          <w:bCs/>
          <w:i/>
          <w:iCs/>
          <w:kern w:val="1"/>
          <w:sz w:val="24"/>
          <w:szCs w:val="24"/>
          <w:lang w:eastAsia="ro-RO"/>
        </w:rPr>
      </w:pPr>
    </w:p>
    <w:sectPr w:rsidR="004F1081" w:rsidRPr="000011F0" w:rsidSect="001A7756">
      <w:footerReference w:type="default" r:id="rId7"/>
      <w:footerReference w:type="first" r:id="rId8"/>
      <w:pgSz w:w="11906" w:h="16838"/>
      <w:pgMar w:top="907" w:right="1133" w:bottom="766" w:left="1134" w:header="708" w:footer="709" w:gutter="0"/>
      <w:cols w:space="708"/>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41" w:rsidRDefault="00D75141">
      <w:r>
        <w:separator/>
      </w:r>
    </w:p>
  </w:endnote>
  <w:endnote w:type="continuationSeparator" w:id="0">
    <w:p w:rsidR="00D75141" w:rsidRDefault="00D7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00"/>
    <w:family w:val="roman"/>
    <w:pitch w:val="default"/>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F0" w:rsidRDefault="00795BF0">
    <w:pPr>
      <w:pStyle w:val="Footer"/>
      <w:jc w:val="center"/>
    </w:pPr>
  </w:p>
  <w:p w:rsidR="00795BF0" w:rsidRDefault="00795BF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F0" w:rsidRDefault="00795B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41" w:rsidRDefault="00D75141">
      <w:r>
        <w:separator/>
      </w:r>
    </w:p>
  </w:footnote>
  <w:footnote w:type="continuationSeparator" w:id="0">
    <w:p w:rsidR="00D75141" w:rsidRDefault="00D751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6"/>
    <w:lvl w:ilvl="0">
      <w:start w:val="6"/>
      <w:numFmt w:val="bullet"/>
      <w:lvlText w:val="-"/>
      <w:lvlJc w:val="left"/>
      <w:pPr>
        <w:tabs>
          <w:tab w:val="num" w:pos="0"/>
        </w:tabs>
        <w:ind w:left="502" w:hanging="360"/>
      </w:pPr>
      <w:rPr>
        <w:rFonts w:ascii="Times New Roman" w:hAnsi="Times New Roman" w:cs="Times New Roman"/>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79" w:hanging="360"/>
      </w:pPr>
      <w:rPr>
        <w:rFonts w:ascii="Symbol" w:hAnsi="Symbol" w:cs="Symbol"/>
        <w:sz w:val="24"/>
        <w:szCs w:val="24"/>
        <w:lang w:eastAsia="ro-R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25"/>
    <w:rsid w:val="000011F0"/>
    <w:rsid w:val="00035BAD"/>
    <w:rsid w:val="00044B09"/>
    <w:rsid w:val="00087F71"/>
    <w:rsid w:val="000B4B58"/>
    <w:rsid w:val="00130628"/>
    <w:rsid w:val="00191D53"/>
    <w:rsid w:val="001A7756"/>
    <w:rsid w:val="0026662B"/>
    <w:rsid w:val="00291A9E"/>
    <w:rsid w:val="002C73A1"/>
    <w:rsid w:val="002E065B"/>
    <w:rsid w:val="00311D67"/>
    <w:rsid w:val="00350CB2"/>
    <w:rsid w:val="00355C6C"/>
    <w:rsid w:val="00370FE4"/>
    <w:rsid w:val="00381608"/>
    <w:rsid w:val="003A46FD"/>
    <w:rsid w:val="003C03B3"/>
    <w:rsid w:val="003F2EAF"/>
    <w:rsid w:val="00461C3A"/>
    <w:rsid w:val="004A16B4"/>
    <w:rsid w:val="004F1081"/>
    <w:rsid w:val="005242B9"/>
    <w:rsid w:val="00572411"/>
    <w:rsid w:val="005967AE"/>
    <w:rsid w:val="005B05D2"/>
    <w:rsid w:val="006B66D8"/>
    <w:rsid w:val="00704259"/>
    <w:rsid w:val="0075405C"/>
    <w:rsid w:val="00761AF0"/>
    <w:rsid w:val="00786758"/>
    <w:rsid w:val="00795BF0"/>
    <w:rsid w:val="00837609"/>
    <w:rsid w:val="008B464C"/>
    <w:rsid w:val="008F6239"/>
    <w:rsid w:val="00993BFD"/>
    <w:rsid w:val="009B7684"/>
    <w:rsid w:val="009F6D23"/>
    <w:rsid w:val="00A16EC8"/>
    <w:rsid w:val="00A51EF6"/>
    <w:rsid w:val="00A905D6"/>
    <w:rsid w:val="00AE66BA"/>
    <w:rsid w:val="00B0301B"/>
    <w:rsid w:val="00B37625"/>
    <w:rsid w:val="00B83A4B"/>
    <w:rsid w:val="00C909B1"/>
    <w:rsid w:val="00D75141"/>
    <w:rsid w:val="00E310C0"/>
    <w:rsid w:val="00E53F10"/>
    <w:rsid w:val="00E72549"/>
    <w:rsid w:val="00E72CC4"/>
    <w:rsid w:val="00F666E8"/>
    <w:rsid w:val="00FB2289"/>
    <w:rsid w:val="00FD2A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BDF6E2E-E92D-4063-8062-E6C0A843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56"/>
    <w:pPr>
      <w:suppressAutoHyphens/>
    </w:pPr>
    <w:rPr>
      <w:sz w:val="28"/>
      <w:szCs w:val="28"/>
      <w:lang w:eastAsia="zh-CN"/>
    </w:rPr>
  </w:style>
  <w:style w:type="paragraph" w:styleId="Heading1">
    <w:name w:val="heading 1"/>
    <w:basedOn w:val="Normal"/>
    <w:next w:val="Normal"/>
    <w:qFormat/>
    <w:rsid w:val="001A7756"/>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1A7756"/>
    <w:pPr>
      <w:keepNext/>
      <w:numPr>
        <w:ilvl w:val="1"/>
        <w:numId w:val="1"/>
      </w:numPr>
      <w:spacing w:line="360" w:lineRule="auto"/>
      <w:jc w:val="center"/>
      <w:outlineLvl w:val="1"/>
    </w:pPr>
    <w:rPr>
      <w:rFonts w:ascii="Arial" w:hAnsi="Arial" w:cs="Arial"/>
      <w:b/>
      <w:bCs/>
      <w:i/>
      <w:iCs/>
      <w:sz w:val="24"/>
      <w:lang w:val="en-US"/>
    </w:rPr>
  </w:style>
  <w:style w:type="paragraph" w:styleId="Heading3">
    <w:name w:val="heading 3"/>
    <w:basedOn w:val="Normal"/>
    <w:next w:val="Normal"/>
    <w:qFormat/>
    <w:rsid w:val="001A775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A7756"/>
  </w:style>
  <w:style w:type="character" w:customStyle="1" w:styleId="WW8Num1z1">
    <w:name w:val="WW8Num1z1"/>
    <w:rsid w:val="001A7756"/>
  </w:style>
  <w:style w:type="character" w:customStyle="1" w:styleId="WW8Num1z2">
    <w:name w:val="WW8Num1z2"/>
    <w:rsid w:val="001A7756"/>
  </w:style>
  <w:style w:type="character" w:customStyle="1" w:styleId="WW8Num1z3">
    <w:name w:val="WW8Num1z3"/>
    <w:rsid w:val="001A7756"/>
  </w:style>
  <w:style w:type="character" w:customStyle="1" w:styleId="WW8Num1z4">
    <w:name w:val="WW8Num1z4"/>
    <w:rsid w:val="001A7756"/>
  </w:style>
  <w:style w:type="character" w:customStyle="1" w:styleId="WW8Num1z5">
    <w:name w:val="WW8Num1z5"/>
    <w:rsid w:val="001A7756"/>
  </w:style>
  <w:style w:type="character" w:customStyle="1" w:styleId="WW8Num1z6">
    <w:name w:val="WW8Num1z6"/>
    <w:rsid w:val="001A7756"/>
  </w:style>
  <w:style w:type="character" w:customStyle="1" w:styleId="WW8Num1z7">
    <w:name w:val="WW8Num1z7"/>
    <w:rsid w:val="001A7756"/>
  </w:style>
  <w:style w:type="character" w:customStyle="1" w:styleId="WW8Num1z8">
    <w:name w:val="WW8Num1z8"/>
    <w:rsid w:val="001A7756"/>
  </w:style>
  <w:style w:type="character" w:customStyle="1" w:styleId="WW8Num2z0">
    <w:name w:val="WW8Num2z0"/>
    <w:rsid w:val="001A7756"/>
  </w:style>
  <w:style w:type="character" w:customStyle="1" w:styleId="WW8Num2z1">
    <w:name w:val="WW8Num2z1"/>
    <w:rsid w:val="001A7756"/>
  </w:style>
  <w:style w:type="character" w:customStyle="1" w:styleId="WW8Num2z2">
    <w:name w:val="WW8Num2z2"/>
    <w:rsid w:val="001A7756"/>
  </w:style>
  <w:style w:type="character" w:customStyle="1" w:styleId="WW8Num2z3">
    <w:name w:val="WW8Num2z3"/>
    <w:rsid w:val="001A7756"/>
  </w:style>
  <w:style w:type="character" w:customStyle="1" w:styleId="WW8Num2z4">
    <w:name w:val="WW8Num2z4"/>
    <w:rsid w:val="001A7756"/>
  </w:style>
  <w:style w:type="character" w:customStyle="1" w:styleId="WW8Num2z5">
    <w:name w:val="WW8Num2z5"/>
    <w:rsid w:val="001A7756"/>
  </w:style>
  <w:style w:type="character" w:customStyle="1" w:styleId="WW8Num2z6">
    <w:name w:val="WW8Num2z6"/>
    <w:rsid w:val="001A7756"/>
  </w:style>
  <w:style w:type="character" w:customStyle="1" w:styleId="WW8Num2z7">
    <w:name w:val="WW8Num2z7"/>
    <w:rsid w:val="001A7756"/>
  </w:style>
  <w:style w:type="character" w:customStyle="1" w:styleId="WW8Num2z8">
    <w:name w:val="WW8Num2z8"/>
    <w:rsid w:val="001A7756"/>
  </w:style>
  <w:style w:type="character" w:customStyle="1" w:styleId="WW8Num3z0">
    <w:name w:val="WW8Num3z0"/>
    <w:rsid w:val="001A7756"/>
  </w:style>
  <w:style w:type="character" w:customStyle="1" w:styleId="WW8Num4z0">
    <w:name w:val="WW8Num4z0"/>
    <w:rsid w:val="001A7756"/>
  </w:style>
  <w:style w:type="character" w:customStyle="1" w:styleId="WW8Num5z0">
    <w:name w:val="WW8Num5z0"/>
    <w:rsid w:val="001A7756"/>
    <w:rPr>
      <w:rFonts w:ascii="Times New Roman" w:eastAsia="Times New Roman" w:hAnsi="Times New Roman" w:cs="Times New Roman"/>
      <w:color w:val="FF0000"/>
      <w:sz w:val="24"/>
      <w:szCs w:val="24"/>
    </w:rPr>
  </w:style>
  <w:style w:type="character" w:customStyle="1" w:styleId="WW8Num5z1">
    <w:name w:val="WW8Num5z1"/>
    <w:rsid w:val="001A7756"/>
    <w:rPr>
      <w:rFonts w:ascii="Courier New" w:hAnsi="Courier New" w:cs="Courier New"/>
    </w:rPr>
  </w:style>
  <w:style w:type="character" w:customStyle="1" w:styleId="WW8Num5z2">
    <w:name w:val="WW8Num5z2"/>
    <w:rsid w:val="001A7756"/>
    <w:rPr>
      <w:rFonts w:ascii="Wingdings" w:hAnsi="Wingdings" w:cs="Wingdings"/>
    </w:rPr>
  </w:style>
  <w:style w:type="character" w:customStyle="1" w:styleId="WW8Num5z3">
    <w:name w:val="WW8Num5z3"/>
    <w:rsid w:val="001A7756"/>
    <w:rPr>
      <w:rFonts w:ascii="Symbol" w:hAnsi="Symbol" w:cs="Symbol"/>
    </w:rPr>
  </w:style>
  <w:style w:type="character" w:customStyle="1" w:styleId="WW8Num6z0">
    <w:name w:val="WW8Num6z0"/>
    <w:rsid w:val="001A7756"/>
    <w:rPr>
      <w:rFonts w:ascii="Times New Roman" w:eastAsia="Times New Roman" w:hAnsi="Times New Roman" w:cs="Times New Roman"/>
    </w:rPr>
  </w:style>
  <w:style w:type="character" w:customStyle="1" w:styleId="WW8Num6z1">
    <w:name w:val="WW8Num6z1"/>
    <w:rsid w:val="001A7756"/>
    <w:rPr>
      <w:rFonts w:ascii="Courier New" w:hAnsi="Courier New" w:cs="Courier New"/>
    </w:rPr>
  </w:style>
  <w:style w:type="character" w:customStyle="1" w:styleId="WW8Num6z2">
    <w:name w:val="WW8Num6z2"/>
    <w:rsid w:val="001A7756"/>
    <w:rPr>
      <w:rFonts w:ascii="Wingdings" w:hAnsi="Wingdings" w:cs="Wingdings"/>
    </w:rPr>
  </w:style>
  <w:style w:type="character" w:customStyle="1" w:styleId="WW8Num6z3">
    <w:name w:val="WW8Num6z3"/>
    <w:rsid w:val="001A7756"/>
    <w:rPr>
      <w:rFonts w:ascii="Symbol" w:hAnsi="Symbol" w:cs="Symbol"/>
    </w:rPr>
  </w:style>
  <w:style w:type="character" w:customStyle="1" w:styleId="WW-DefaultParagraphFont">
    <w:name w:val="WW-Default Paragraph Font"/>
    <w:rsid w:val="001A7756"/>
  </w:style>
  <w:style w:type="character" w:customStyle="1" w:styleId="WW8Num3z1">
    <w:name w:val="WW8Num3z1"/>
    <w:rsid w:val="001A7756"/>
  </w:style>
  <w:style w:type="character" w:customStyle="1" w:styleId="WW8Num3z2">
    <w:name w:val="WW8Num3z2"/>
    <w:rsid w:val="001A7756"/>
  </w:style>
  <w:style w:type="character" w:customStyle="1" w:styleId="WW8Num3z3">
    <w:name w:val="WW8Num3z3"/>
    <w:rsid w:val="001A7756"/>
  </w:style>
  <w:style w:type="character" w:customStyle="1" w:styleId="WW8Num3z4">
    <w:name w:val="WW8Num3z4"/>
    <w:rsid w:val="001A7756"/>
  </w:style>
  <w:style w:type="character" w:customStyle="1" w:styleId="WW8Num3z5">
    <w:name w:val="WW8Num3z5"/>
    <w:rsid w:val="001A7756"/>
  </w:style>
  <w:style w:type="character" w:customStyle="1" w:styleId="WW8Num3z6">
    <w:name w:val="WW8Num3z6"/>
    <w:rsid w:val="001A7756"/>
  </w:style>
  <w:style w:type="character" w:customStyle="1" w:styleId="WW8Num3z7">
    <w:name w:val="WW8Num3z7"/>
    <w:rsid w:val="001A7756"/>
  </w:style>
  <w:style w:type="character" w:customStyle="1" w:styleId="WW8Num3z8">
    <w:name w:val="WW8Num3z8"/>
    <w:rsid w:val="001A7756"/>
  </w:style>
  <w:style w:type="character" w:customStyle="1" w:styleId="WW8Num7z0">
    <w:name w:val="WW8Num7z0"/>
    <w:rsid w:val="001A7756"/>
    <w:rPr>
      <w:rFonts w:ascii="Arial" w:hAnsi="Arial" w:cs="Arial"/>
      <w:sz w:val="24"/>
      <w:szCs w:val="24"/>
    </w:rPr>
  </w:style>
  <w:style w:type="character" w:customStyle="1" w:styleId="WW8Num8z0">
    <w:name w:val="WW8Num8z0"/>
    <w:rsid w:val="001A7756"/>
    <w:rPr>
      <w:rFonts w:ascii="Wingdings" w:hAnsi="Wingdings" w:cs="Wingdings"/>
      <w:color w:val="000000"/>
      <w:sz w:val="24"/>
      <w:szCs w:val="24"/>
      <w:shd w:val="clear" w:color="auto" w:fill="FFFFFF"/>
    </w:rPr>
  </w:style>
  <w:style w:type="character" w:customStyle="1" w:styleId="WW8Num9z0">
    <w:name w:val="WW8Num9z0"/>
    <w:rsid w:val="001A7756"/>
    <w:rPr>
      <w:rFonts w:ascii="Arial" w:eastAsia="Times New Roman" w:hAnsi="Arial" w:cs="Arial"/>
    </w:rPr>
  </w:style>
  <w:style w:type="character" w:customStyle="1" w:styleId="WW8Num9z1">
    <w:name w:val="WW8Num9z1"/>
    <w:rsid w:val="001A7756"/>
    <w:rPr>
      <w:rFonts w:ascii="Courier New" w:hAnsi="Courier New" w:cs="Courier New"/>
    </w:rPr>
  </w:style>
  <w:style w:type="character" w:customStyle="1" w:styleId="WW8Num9z2">
    <w:name w:val="WW8Num9z2"/>
    <w:rsid w:val="001A7756"/>
    <w:rPr>
      <w:rFonts w:ascii="Wingdings" w:hAnsi="Wingdings" w:cs="Wingdings"/>
    </w:rPr>
  </w:style>
  <w:style w:type="character" w:customStyle="1" w:styleId="WW8Num9z3">
    <w:name w:val="WW8Num9z3"/>
    <w:rsid w:val="001A7756"/>
    <w:rPr>
      <w:rFonts w:ascii="Symbol" w:hAnsi="Symbol" w:cs="Symbol"/>
    </w:rPr>
  </w:style>
  <w:style w:type="character" w:customStyle="1" w:styleId="WW8Num10z0">
    <w:name w:val="WW8Num10z0"/>
    <w:rsid w:val="001A7756"/>
    <w:rPr>
      <w:rFonts w:ascii="Calibri" w:eastAsia="Calibri" w:hAnsi="Calibri" w:cs="Times New Roman"/>
    </w:rPr>
  </w:style>
  <w:style w:type="character" w:customStyle="1" w:styleId="WW8Num10z1">
    <w:name w:val="WW8Num10z1"/>
    <w:rsid w:val="001A7756"/>
    <w:rPr>
      <w:rFonts w:ascii="Courier New" w:hAnsi="Courier New" w:cs="Courier New"/>
    </w:rPr>
  </w:style>
  <w:style w:type="character" w:customStyle="1" w:styleId="WW8Num10z2">
    <w:name w:val="WW8Num10z2"/>
    <w:rsid w:val="001A7756"/>
    <w:rPr>
      <w:rFonts w:ascii="Wingdings" w:hAnsi="Wingdings" w:cs="Wingdings"/>
    </w:rPr>
  </w:style>
  <w:style w:type="character" w:customStyle="1" w:styleId="WW8Num10z3">
    <w:name w:val="WW8Num10z3"/>
    <w:rsid w:val="001A7756"/>
    <w:rPr>
      <w:rFonts w:ascii="Symbol" w:hAnsi="Symbol" w:cs="Symbol"/>
    </w:rPr>
  </w:style>
  <w:style w:type="character" w:customStyle="1" w:styleId="WW8Num11z0">
    <w:name w:val="WW8Num11z0"/>
    <w:rsid w:val="001A7756"/>
  </w:style>
  <w:style w:type="character" w:customStyle="1" w:styleId="WW8Num11z1">
    <w:name w:val="WW8Num11z1"/>
    <w:rsid w:val="001A7756"/>
  </w:style>
  <w:style w:type="character" w:customStyle="1" w:styleId="WW8Num11z2">
    <w:name w:val="WW8Num11z2"/>
    <w:rsid w:val="001A7756"/>
  </w:style>
  <w:style w:type="character" w:customStyle="1" w:styleId="WW8Num11z3">
    <w:name w:val="WW8Num11z3"/>
    <w:rsid w:val="001A7756"/>
  </w:style>
  <w:style w:type="character" w:customStyle="1" w:styleId="WW8Num11z4">
    <w:name w:val="WW8Num11z4"/>
    <w:rsid w:val="001A7756"/>
  </w:style>
  <w:style w:type="character" w:customStyle="1" w:styleId="WW8Num11z5">
    <w:name w:val="WW8Num11z5"/>
    <w:rsid w:val="001A7756"/>
  </w:style>
  <w:style w:type="character" w:customStyle="1" w:styleId="WW8Num11z6">
    <w:name w:val="WW8Num11z6"/>
    <w:rsid w:val="001A7756"/>
  </w:style>
  <w:style w:type="character" w:customStyle="1" w:styleId="WW8Num11z7">
    <w:name w:val="WW8Num11z7"/>
    <w:rsid w:val="001A7756"/>
  </w:style>
  <w:style w:type="character" w:customStyle="1" w:styleId="WW8Num11z8">
    <w:name w:val="WW8Num11z8"/>
    <w:rsid w:val="001A7756"/>
  </w:style>
  <w:style w:type="character" w:customStyle="1" w:styleId="WW8Num12z0">
    <w:name w:val="WW8Num12z0"/>
    <w:rsid w:val="001A7756"/>
  </w:style>
  <w:style w:type="character" w:customStyle="1" w:styleId="WW8Num12z1">
    <w:name w:val="WW8Num12z1"/>
    <w:rsid w:val="001A7756"/>
  </w:style>
  <w:style w:type="character" w:customStyle="1" w:styleId="WW8Num12z2">
    <w:name w:val="WW8Num12z2"/>
    <w:rsid w:val="001A7756"/>
  </w:style>
  <w:style w:type="character" w:customStyle="1" w:styleId="WW8Num12z3">
    <w:name w:val="WW8Num12z3"/>
    <w:rsid w:val="001A7756"/>
  </w:style>
  <w:style w:type="character" w:customStyle="1" w:styleId="WW8Num12z4">
    <w:name w:val="WW8Num12z4"/>
    <w:rsid w:val="001A7756"/>
  </w:style>
  <w:style w:type="character" w:customStyle="1" w:styleId="WW8Num12z5">
    <w:name w:val="WW8Num12z5"/>
    <w:rsid w:val="001A7756"/>
  </w:style>
  <w:style w:type="character" w:customStyle="1" w:styleId="WW8Num12z6">
    <w:name w:val="WW8Num12z6"/>
    <w:rsid w:val="001A7756"/>
  </w:style>
  <w:style w:type="character" w:customStyle="1" w:styleId="WW8Num12z7">
    <w:name w:val="WW8Num12z7"/>
    <w:rsid w:val="001A7756"/>
  </w:style>
  <w:style w:type="character" w:customStyle="1" w:styleId="WW8Num12z8">
    <w:name w:val="WW8Num12z8"/>
    <w:rsid w:val="001A7756"/>
  </w:style>
  <w:style w:type="character" w:customStyle="1" w:styleId="WW8Num13z0">
    <w:name w:val="WW8Num13z0"/>
    <w:rsid w:val="001A7756"/>
    <w:rPr>
      <w:rFonts w:ascii="Symbol" w:hAnsi="Symbol" w:cs="Symbol"/>
    </w:rPr>
  </w:style>
  <w:style w:type="character" w:customStyle="1" w:styleId="WW8Num13z1">
    <w:name w:val="WW8Num13z1"/>
    <w:rsid w:val="001A7756"/>
    <w:rPr>
      <w:rFonts w:ascii="Courier New" w:hAnsi="Courier New" w:cs="Courier New"/>
    </w:rPr>
  </w:style>
  <w:style w:type="character" w:customStyle="1" w:styleId="WW8Num13z2">
    <w:name w:val="WW8Num13z2"/>
    <w:rsid w:val="001A7756"/>
    <w:rPr>
      <w:rFonts w:ascii="Wingdings" w:hAnsi="Wingdings" w:cs="Wingdings"/>
    </w:rPr>
  </w:style>
  <w:style w:type="character" w:customStyle="1" w:styleId="WW8Num14z0">
    <w:name w:val="WW8Num14z0"/>
    <w:rsid w:val="001A7756"/>
  </w:style>
  <w:style w:type="character" w:customStyle="1" w:styleId="WW8Num14z1">
    <w:name w:val="WW8Num14z1"/>
    <w:rsid w:val="001A7756"/>
  </w:style>
  <w:style w:type="character" w:customStyle="1" w:styleId="WW8Num14z2">
    <w:name w:val="WW8Num14z2"/>
    <w:rsid w:val="001A7756"/>
  </w:style>
  <w:style w:type="character" w:customStyle="1" w:styleId="WW8Num14z3">
    <w:name w:val="WW8Num14z3"/>
    <w:rsid w:val="001A7756"/>
  </w:style>
  <w:style w:type="character" w:customStyle="1" w:styleId="WW8Num14z4">
    <w:name w:val="WW8Num14z4"/>
    <w:rsid w:val="001A7756"/>
  </w:style>
  <w:style w:type="character" w:customStyle="1" w:styleId="WW8Num14z5">
    <w:name w:val="WW8Num14z5"/>
    <w:rsid w:val="001A7756"/>
  </w:style>
  <w:style w:type="character" w:customStyle="1" w:styleId="WW8Num14z6">
    <w:name w:val="WW8Num14z6"/>
    <w:rsid w:val="001A7756"/>
  </w:style>
  <w:style w:type="character" w:customStyle="1" w:styleId="WW8Num14z7">
    <w:name w:val="WW8Num14z7"/>
    <w:rsid w:val="001A7756"/>
  </w:style>
  <w:style w:type="character" w:customStyle="1" w:styleId="WW8Num14z8">
    <w:name w:val="WW8Num14z8"/>
    <w:rsid w:val="001A7756"/>
  </w:style>
  <w:style w:type="character" w:customStyle="1" w:styleId="WW8Num15z0">
    <w:name w:val="WW8Num15z0"/>
    <w:rsid w:val="001A7756"/>
  </w:style>
  <w:style w:type="character" w:customStyle="1" w:styleId="WW8Num15z1">
    <w:name w:val="WW8Num15z1"/>
    <w:rsid w:val="001A7756"/>
  </w:style>
  <w:style w:type="character" w:customStyle="1" w:styleId="WW8Num15z2">
    <w:name w:val="WW8Num15z2"/>
    <w:rsid w:val="001A7756"/>
  </w:style>
  <w:style w:type="character" w:customStyle="1" w:styleId="WW8Num15z3">
    <w:name w:val="WW8Num15z3"/>
    <w:rsid w:val="001A7756"/>
  </w:style>
  <w:style w:type="character" w:customStyle="1" w:styleId="WW8Num15z4">
    <w:name w:val="WW8Num15z4"/>
    <w:rsid w:val="001A7756"/>
  </w:style>
  <w:style w:type="character" w:customStyle="1" w:styleId="WW8Num15z5">
    <w:name w:val="WW8Num15z5"/>
    <w:rsid w:val="001A7756"/>
  </w:style>
  <w:style w:type="character" w:customStyle="1" w:styleId="WW8Num15z6">
    <w:name w:val="WW8Num15z6"/>
    <w:rsid w:val="001A7756"/>
  </w:style>
  <w:style w:type="character" w:customStyle="1" w:styleId="WW8Num15z7">
    <w:name w:val="WW8Num15z7"/>
    <w:rsid w:val="001A7756"/>
  </w:style>
  <w:style w:type="character" w:customStyle="1" w:styleId="WW8Num15z8">
    <w:name w:val="WW8Num15z8"/>
    <w:rsid w:val="001A7756"/>
  </w:style>
  <w:style w:type="character" w:customStyle="1" w:styleId="WW8Num16z0">
    <w:name w:val="WW8Num16z0"/>
    <w:rsid w:val="001A7756"/>
  </w:style>
  <w:style w:type="character" w:customStyle="1" w:styleId="WW8Num16z1">
    <w:name w:val="WW8Num16z1"/>
    <w:rsid w:val="001A7756"/>
  </w:style>
  <w:style w:type="character" w:customStyle="1" w:styleId="WW8Num16z2">
    <w:name w:val="WW8Num16z2"/>
    <w:rsid w:val="001A7756"/>
  </w:style>
  <w:style w:type="character" w:customStyle="1" w:styleId="WW8Num16z3">
    <w:name w:val="WW8Num16z3"/>
    <w:rsid w:val="001A7756"/>
  </w:style>
  <w:style w:type="character" w:customStyle="1" w:styleId="WW8Num16z4">
    <w:name w:val="WW8Num16z4"/>
    <w:rsid w:val="001A7756"/>
  </w:style>
  <w:style w:type="character" w:customStyle="1" w:styleId="WW8Num16z5">
    <w:name w:val="WW8Num16z5"/>
    <w:rsid w:val="001A7756"/>
  </w:style>
  <w:style w:type="character" w:customStyle="1" w:styleId="WW8Num16z6">
    <w:name w:val="WW8Num16z6"/>
    <w:rsid w:val="001A7756"/>
  </w:style>
  <w:style w:type="character" w:customStyle="1" w:styleId="WW8Num16z7">
    <w:name w:val="WW8Num16z7"/>
    <w:rsid w:val="001A7756"/>
  </w:style>
  <w:style w:type="character" w:customStyle="1" w:styleId="WW8Num16z8">
    <w:name w:val="WW8Num16z8"/>
    <w:rsid w:val="001A7756"/>
  </w:style>
  <w:style w:type="character" w:customStyle="1" w:styleId="WW8Num17z0">
    <w:name w:val="WW8Num17z0"/>
    <w:rsid w:val="001A7756"/>
  </w:style>
  <w:style w:type="character" w:customStyle="1" w:styleId="WW8Num17z1">
    <w:name w:val="WW8Num17z1"/>
    <w:rsid w:val="001A7756"/>
  </w:style>
  <w:style w:type="character" w:customStyle="1" w:styleId="WW8Num17z2">
    <w:name w:val="WW8Num17z2"/>
    <w:rsid w:val="001A7756"/>
  </w:style>
  <w:style w:type="character" w:customStyle="1" w:styleId="WW8Num17z3">
    <w:name w:val="WW8Num17z3"/>
    <w:rsid w:val="001A7756"/>
  </w:style>
  <w:style w:type="character" w:customStyle="1" w:styleId="WW8Num17z4">
    <w:name w:val="WW8Num17z4"/>
    <w:rsid w:val="001A7756"/>
  </w:style>
  <w:style w:type="character" w:customStyle="1" w:styleId="WW8Num17z5">
    <w:name w:val="WW8Num17z5"/>
    <w:rsid w:val="001A7756"/>
  </w:style>
  <w:style w:type="character" w:customStyle="1" w:styleId="WW8Num17z6">
    <w:name w:val="WW8Num17z6"/>
    <w:rsid w:val="001A7756"/>
  </w:style>
  <w:style w:type="character" w:customStyle="1" w:styleId="WW8Num17z7">
    <w:name w:val="WW8Num17z7"/>
    <w:rsid w:val="001A7756"/>
  </w:style>
  <w:style w:type="character" w:customStyle="1" w:styleId="WW8Num17z8">
    <w:name w:val="WW8Num17z8"/>
    <w:rsid w:val="001A7756"/>
  </w:style>
  <w:style w:type="character" w:customStyle="1" w:styleId="WW8Num18z0">
    <w:name w:val="WW8Num18z0"/>
    <w:rsid w:val="001A7756"/>
  </w:style>
  <w:style w:type="character" w:customStyle="1" w:styleId="WW8Num18z1">
    <w:name w:val="WW8Num18z1"/>
    <w:rsid w:val="001A7756"/>
  </w:style>
  <w:style w:type="character" w:customStyle="1" w:styleId="WW8Num18z2">
    <w:name w:val="WW8Num18z2"/>
    <w:rsid w:val="001A7756"/>
  </w:style>
  <w:style w:type="character" w:customStyle="1" w:styleId="WW8Num18z3">
    <w:name w:val="WW8Num18z3"/>
    <w:rsid w:val="001A7756"/>
  </w:style>
  <w:style w:type="character" w:customStyle="1" w:styleId="WW8Num18z4">
    <w:name w:val="WW8Num18z4"/>
    <w:rsid w:val="001A7756"/>
  </w:style>
  <w:style w:type="character" w:customStyle="1" w:styleId="WW8Num18z5">
    <w:name w:val="WW8Num18z5"/>
    <w:rsid w:val="001A7756"/>
  </w:style>
  <w:style w:type="character" w:customStyle="1" w:styleId="WW8Num18z6">
    <w:name w:val="WW8Num18z6"/>
    <w:rsid w:val="001A7756"/>
  </w:style>
  <w:style w:type="character" w:customStyle="1" w:styleId="WW8Num18z7">
    <w:name w:val="WW8Num18z7"/>
    <w:rsid w:val="001A7756"/>
  </w:style>
  <w:style w:type="character" w:customStyle="1" w:styleId="WW8Num18z8">
    <w:name w:val="WW8Num18z8"/>
    <w:rsid w:val="001A7756"/>
  </w:style>
  <w:style w:type="character" w:customStyle="1" w:styleId="WW8Num19z0">
    <w:name w:val="WW8Num19z0"/>
    <w:rsid w:val="001A7756"/>
    <w:rPr>
      <w:rFonts w:ascii="Symbol" w:hAnsi="Symbol" w:cs="Symbol"/>
    </w:rPr>
  </w:style>
  <w:style w:type="character" w:customStyle="1" w:styleId="WW8Num19z1">
    <w:name w:val="WW8Num19z1"/>
    <w:rsid w:val="001A7756"/>
    <w:rPr>
      <w:rFonts w:ascii="Courier New" w:hAnsi="Courier New" w:cs="Courier New"/>
    </w:rPr>
  </w:style>
  <w:style w:type="character" w:customStyle="1" w:styleId="WW8Num19z2">
    <w:name w:val="WW8Num19z2"/>
    <w:rsid w:val="001A7756"/>
    <w:rPr>
      <w:rFonts w:ascii="Wingdings" w:hAnsi="Wingdings" w:cs="Wingdings"/>
    </w:rPr>
  </w:style>
  <w:style w:type="character" w:customStyle="1" w:styleId="WW8Num20z0">
    <w:name w:val="WW8Num20z0"/>
    <w:rsid w:val="001A7756"/>
    <w:rPr>
      <w:rFonts w:ascii="Wingdings" w:hAnsi="Wingdings" w:cs="Wingdings"/>
      <w:color w:val="000000"/>
      <w:sz w:val="24"/>
      <w:szCs w:val="24"/>
      <w:shd w:val="clear" w:color="auto" w:fill="FFFFFF"/>
    </w:rPr>
  </w:style>
  <w:style w:type="character" w:customStyle="1" w:styleId="WW8Num20z1">
    <w:name w:val="WW8Num20z1"/>
    <w:rsid w:val="001A7756"/>
    <w:rPr>
      <w:rFonts w:ascii="Courier New" w:hAnsi="Courier New" w:cs="Courier New"/>
    </w:rPr>
  </w:style>
  <w:style w:type="character" w:customStyle="1" w:styleId="WW8Num20z2">
    <w:name w:val="WW8Num20z2"/>
    <w:rsid w:val="001A7756"/>
    <w:rPr>
      <w:rFonts w:ascii="Wingdings" w:hAnsi="Wingdings" w:cs="Wingdings"/>
    </w:rPr>
  </w:style>
  <w:style w:type="character" w:customStyle="1" w:styleId="WW8Num20z3">
    <w:name w:val="WW8Num20z3"/>
    <w:rsid w:val="001A7756"/>
    <w:rPr>
      <w:rFonts w:ascii="Symbol" w:hAnsi="Symbol" w:cs="Symbol"/>
    </w:rPr>
  </w:style>
  <w:style w:type="character" w:customStyle="1" w:styleId="WW-DefaultParagraphFont1">
    <w:name w:val="WW-Default Paragraph Font1"/>
    <w:rsid w:val="001A7756"/>
  </w:style>
  <w:style w:type="character" w:customStyle="1" w:styleId="WW8Num7z1">
    <w:name w:val="WW8Num7z1"/>
    <w:rsid w:val="001A7756"/>
  </w:style>
  <w:style w:type="character" w:customStyle="1" w:styleId="WW8Num7z2">
    <w:name w:val="WW8Num7z2"/>
    <w:rsid w:val="001A7756"/>
  </w:style>
  <w:style w:type="character" w:customStyle="1" w:styleId="WW8Num7z3">
    <w:name w:val="WW8Num7z3"/>
    <w:rsid w:val="001A7756"/>
  </w:style>
  <w:style w:type="character" w:customStyle="1" w:styleId="WW8Num7z4">
    <w:name w:val="WW8Num7z4"/>
    <w:rsid w:val="001A7756"/>
  </w:style>
  <w:style w:type="character" w:customStyle="1" w:styleId="WW8Num7z5">
    <w:name w:val="WW8Num7z5"/>
    <w:rsid w:val="001A7756"/>
  </w:style>
  <w:style w:type="character" w:customStyle="1" w:styleId="WW8Num7z6">
    <w:name w:val="WW8Num7z6"/>
    <w:rsid w:val="001A7756"/>
  </w:style>
  <w:style w:type="character" w:customStyle="1" w:styleId="WW8Num7z7">
    <w:name w:val="WW8Num7z7"/>
    <w:rsid w:val="001A7756"/>
  </w:style>
  <w:style w:type="character" w:customStyle="1" w:styleId="WW8Num7z8">
    <w:name w:val="WW8Num7z8"/>
    <w:rsid w:val="001A7756"/>
  </w:style>
  <w:style w:type="character" w:customStyle="1" w:styleId="WW8Num8z1">
    <w:name w:val="WW8Num8z1"/>
    <w:rsid w:val="001A7756"/>
    <w:rPr>
      <w:rFonts w:ascii="Courier New" w:hAnsi="Courier New" w:cs="Courier New"/>
    </w:rPr>
  </w:style>
  <w:style w:type="character" w:customStyle="1" w:styleId="WW8Num8z2">
    <w:name w:val="WW8Num8z2"/>
    <w:rsid w:val="001A7756"/>
    <w:rPr>
      <w:rFonts w:ascii="Wingdings" w:hAnsi="Wingdings" w:cs="Wingdings"/>
    </w:rPr>
  </w:style>
  <w:style w:type="character" w:customStyle="1" w:styleId="WW8Num8z3">
    <w:name w:val="WW8Num8z3"/>
    <w:rsid w:val="001A7756"/>
    <w:rPr>
      <w:rFonts w:ascii="Symbol" w:hAnsi="Symbol" w:cs="Symbol"/>
    </w:rPr>
  </w:style>
  <w:style w:type="character" w:customStyle="1" w:styleId="WW8Num9z4">
    <w:name w:val="WW8Num9z4"/>
    <w:rsid w:val="001A7756"/>
  </w:style>
  <w:style w:type="character" w:customStyle="1" w:styleId="WW8Num9z5">
    <w:name w:val="WW8Num9z5"/>
    <w:rsid w:val="001A7756"/>
  </w:style>
  <w:style w:type="character" w:customStyle="1" w:styleId="WW8Num9z6">
    <w:name w:val="WW8Num9z6"/>
    <w:rsid w:val="001A7756"/>
  </w:style>
  <w:style w:type="character" w:customStyle="1" w:styleId="WW8Num9z7">
    <w:name w:val="WW8Num9z7"/>
    <w:rsid w:val="001A7756"/>
  </w:style>
  <w:style w:type="character" w:customStyle="1" w:styleId="WW8Num9z8">
    <w:name w:val="WW8Num9z8"/>
    <w:rsid w:val="001A7756"/>
  </w:style>
  <w:style w:type="character" w:customStyle="1" w:styleId="WW8Num10z4">
    <w:name w:val="WW8Num10z4"/>
    <w:rsid w:val="001A7756"/>
  </w:style>
  <w:style w:type="character" w:customStyle="1" w:styleId="WW8Num10z5">
    <w:name w:val="WW8Num10z5"/>
    <w:rsid w:val="001A7756"/>
  </w:style>
  <w:style w:type="character" w:customStyle="1" w:styleId="WW8Num10z6">
    <w:name w:val="WW8Num10z6"/>
    <w:rsid w:val="001A7756"/>
  </w:style>
  <w:style w:type="character" w:customStyle="1" w:styleId="WW8Num10z7">
    <w:name w:val="WW8Num10z7"/>
    <w:rsid w:val="001A7756"/>
  </w:style>
  <w:style w:type="character" w:customStyle="1" w:styleId="WW8Num10z8">
    <w:name w:val="WW8Num10z8"/>
    <w:rsid w:val="001A7756"/>
  </w:style>
  <w:style w:type="character" w:customStyle="1" w:styleId="DefaultParagraphFont1">
    <w:name w:val="Default Paragraph Font1"/>
    <w:rsid w:val="001A7756"/>
  </w:style>
  <w:style w:type="character" w:customStyle="1" w:styleId="WW-DefaultParagraphFont11">
    <w:name w:val="WW-Default Paragraph Font11"/>
    <w:rsid w:val="001A7756"/>
  </w:style>
  <w:style w:type="character" w:customStyle="1" w:styleId="WW-DefaultParagraphFont111">
    <w:name w:val="WW-Default Paragraph Font111"/>
    <w:rsid w:val="001A7756"/>
  </w:style>
  <w:style w:type="character" w:customStyle="1" w:styleId="WW8Num5z4">
    <w:name w:val="WW8Num5z4"/>
    <w:rsid w:val="001A7756"/>
  </w:style>
  <w:style w:type="character" w:customStyle="1" w:styleId="WW8Num5z5">
    <w:name w:val="WW8Num5z5"/>
    <w:rsid w:val="001A7756"/>
  </w:style>
  <w:style w:type="character" w:customStyle="1" w:styleId="WW8Num5z6">
    <w:name w:val="WW8Num5z6"/>
    <w:rsid w:val="001A7756"/>
  </w:style>
  <w:style w:type="character" w:customStyle="1" w:styleId="WW8Num5z7">
    <w:name w:val="WW8Num5z7"/>
    <w:rsid w:val="001A7756"/>
  </w:style>
  <w:style w:type="character" w:customStyle="1" w:styleId="WW8Num5z8">
    <w:name w:val="WW8Num5z8"/>
    <w:rsid w:val="001A7756"/>
  </w:style>
  <w:style w:type="character" w:customStyle="1" w:styleId="WW8Num8z4">
    <w:name w:val="WW8Num8z4"/>
    <w:rsid w:val="001A7756"/>
  </w:style>
  <w:style w:type="character" w:customStyle="1" w:styleId="WW8Num8z5">
    <w:name w:val="WW8Num8z5"/>
    <w:rsid w:val="001A7756"/>
  </w:style>
  <w:style w:type="character" w:customStyle="1" w:styleId="WW8Num8z6">
    <w:name w:val="WW8Num8z6"/>
    <w:rsid w:val="001A7756"/>
  </w:style>
  <w:style w:type="character" w:customStyle="1" w:styleId="WW8Num8z7">
    <w:name w:val="WW8Num8z7"/>
    <w:rsid w:val="001A7756"/>
  </w:style>
  <w:style w:type="character" w:customStyle="1" w:styleId="WW8Num8z8">
    <w:name w:val="WW8Num8z8"/>
    <w:rsid w:val="001A7756"/>
  </w:style>
  <w:style w:type="character" w:customStyle="1" w:styleId="WW8Num13z3">
    <w:name w:val="WW8Num13z3"/>
    <w:rsid w:val="001A7756"/>
    <w:rPr>
      <w:rFonts w:ascii="Symbol" w:hAnsi="Symbol" w:cs="Symbol"/>
    </w:rPr>
  </w:style>
  <w:style w:type="character" w:customStyle="1" w:styleId="WW8Num19z3">
    <w:name w:val="WW8Num19z3"/>
    <w:rsid w:val="001A7756"/>
  </w:style>
  <w:style w:type="character" w:customStyle="1" w:styleId="WW8Num19z4">
    <w:name w:val="WW8Num19z4"/>
    <w:rsid w:val="001A7756"/>
  </w:style>
  <w:style w:type="character" w:customStyle="1" w:styleId="WW8Num19z5">
    <w:name w:val="WW8Num19z5"/>
    <w:rsid w:val="001A7756"/>
  </w:style>
  <w:style w:type="character" w:customStyle="1" w:styleId="WW8Num19z6">
    <w:name w:val="WW8Num19z6"/>
    <w:rsid w:val="001A7756"/>
  </w:style>
  <w:style w:type="character" w:customStyle="1" w:styleId="WW8Num19z7">
    <w:name w:val="WW8Num19z7"/>
    <w:rsid w:val="001A7756"/>
  </w:style>
  <w:style w:type="character" w:customStyle="1" w:styleId="WW8Num19z8">
    <w:name w:val="WW8Num19z8"/>
    <w:rsid w:val="001A7756"/>
  </w:style>
  <w:style w:type="character" w:customStyle="1" w:styleId="WW8Num20z4">
    <w:name w:val="WW8Num20z4"/>
    <w:rsid w:val="001A7756"/>
  </w:style>
  <w:style w:type="character" w:customStyle="1" w:styleId="WW8Num20z5">
    <w:name w:val="WW8Num20z5"/>
    <w:rsid w:val="001A7756"/>
  </w:style>
  <w:style w:type="character" w:customStyle="1" w:styleId="WW8Num20z6">
    <w:name w:val="WW8Num20z6"/>
    <w:rsid w:val="001A7756"/>
  </w:style>
  <w:style w:type="character" w:customStyle="1" w:styleId="WW8Num20z7">
    <w:name w:val="WW8Num20z7"/>
    <w:rsid w:val="001A7756"/>
  </w:style>
  <w:style w:type="character" w:customStyle="1" w:styleId="WW8Num20z8">
    <w:name w:val="WW8Num20z8"/>
    <w:rsid w:val="001A7756"/>
  </w:style>
  <w:style w:type="character" w:customStyle="1" w:styleId="WW8Num21z0">
    <w:name w:val="WW8Num21z0"/>
    <w:rsid w:val="001A7756"/>
    <w:rPr>
      <w:rFonts w:ascii="Arial" w:eastAsia="Times New Roman" w:hAnsi="Arial" w:cs="Arial"/>
      <w:u w:val="single"/>
    </w:rPr>
  </w:style>
  <w:style w:type="character" w:customStyle="1" w:styleId="WW8Num21z1">
    <w:name w:val="WW8Num21z1"/>
    <w:rsid w:val="001A7756"/>
    <w:rPr>
      <w:rFonts w:ascii="Courier New" w:hAnsi="Courier New" w:cs="Courier New"/>
    </w:rPr>
  </w:style>
  <w:style w:type="character" w:customStyle="1" w:styleId="WW8Num21z2">
    <w:name w:val="WW8Num21z2"/>
    <w:rsid w:val="001A7756"/>
    <w:rPr>
      <w:rFonts w:ascii="Wingdings" w:hAnsi="Wingdings" w:cs="Wingdings"/>
    </w:rPr>
  </w:style>
  <w:style w:type="character" w:customStyle="1" w:styleId="WW8Num21z3">
    <w:name w:val="WW8Num21z3"/>
    <w:rsid w:val="001A7756"/>
    <w:rPr>
      <w:rFonts w:ascii="Symbol" w:hAnsi="Symbol" w:cs="Symbol"/>
    </w:rPr>
  </w:style>
  <w:style w:type="character" w:customStyle="1" w:styleId="WW8Num22z0">
    <w:name w:val="WW8Num22z0"/>
    <w:rsid w:val="001A7756"/>
    <w:rPr>
      <w:rFonts w:ascii="Arial" w:hAnsi="Arial" w:cs="Arial"/>
      <w:lang w:val="ro-RO"/>
    </w:rPr>
  </w:style>
  <w:style w:type="character" w:customStyle="1" w:styleId="WW8Num22z1">
    <w:name w:val="WW8Num22z1"/>
    <w:rsid w:val="001A7756"/>
  </w:style>
  <w:style w:type="character" w:customStyle="1" w:styleId="WW8Num22z2">
    <w:name w:val="WW8Num22z2"/>
    <w:rsid w:val="001A7756"/>
  </w:style>
  <w:style w:type="character" w:customStyle="1" w:styleId="WW8Num22z3">
    <w:name w:val="WW8Num22z3"/>
    <w:rsid w:val="001A7756"/>
  </w:style>
  <w:style w:type="character" w:customStyle="1" w:styleId="WW8Num22z4">
    <w:name w:val="WW8Num22z4"/>
    <w:rsid w:val="001A7756"/>
  </w:style>
  <w:style w:type="character" w:customStyle="1" w:styleId="WW8Num22z5">
    <w:name w:val="WW8Num22z5"/>
    <w:rsid w:val="001A7756"/>
  </w:style>
  <w:style w:type="character" w:customStyle="1" w:styleId="WW8Num22z6">
    <w:name w:val="WW8Num22z6"/>
    <w:rsid w:val="001A7756"/>
  </w:style>
  <w:style w:type="character" w:customStyle="1" w:styleId="WW8Num22z7">
    <w:name w:val="WW8Num22z7"/>
    <w:rsid w:val="001A7756"/>
  </w:style>
  <w:style w:type="character" w:customStyle="1" w:styleId="WW8Num22z8">
    <w:name w:val="WW8Num22z8"/>
    <w:rsid w:val="001A7756"/>
  </w:style>
  <w:style w:type="character" w:customStyle="1" w:styleId="WW8Num23z0">
    <w:name w:val="WW8Num23z0"/>
    <w:rsid w:val="001A7756"/>
  </w:style>
  <w:style w:type="character" w:customStyle="1" w:styleId="WW8Num23z1">
    <w:name w:val="WW8Num23z1"/>
    <w:rsid w:val="001A7756"/>
  </w:style>
  <w:style w:type="character" w:customStyle="1" w:styleId="WW8Num23z2">
    <w:name w:val="WW8Num23z2"/>
    <w:rsid w:val="001A7756"/>
  </w:style>
  <w:style w:type="character" w:customStyle="1" w:styleId="WW8Num23z3">
    <w:name w:val="WW8Num23z3"/>
    <w:rsid w:val="001A7756"/>
  </w:style>
  <w:style w:type="character" w:customStyle="1" w:styleId="WW8Num23z4">
    <w:name w:val="WW8Num23z4"/>
    <w:rsid w:val="001A7756"/>
  </w:style>
  <w:style w:type="character" w:customStyle="1" w:styleId="WW8Num23z5">
    <w:name w:val="WW8Num23z5"/>
    <w:rsid w:val="001A7756"/>
  </w:style>
  <w:style w:type="character" w:customStyle="1" w:styleId="WW8Num23z6">
    <w:name w:val="WW8Num23z6"/>
    <w:rsid w:val="001A7756"/>
  </w:style>
  <w:style w:type="character" w:customStyle="1" w:styleId="WW8Num23z7">
    <w:name w:val="WW8Num23z7"/>
    <w:rsid w:val="001A7756"/>
  </w:style>
  <w:style w:type="character" w:customStyle="1" w:styleId="WW8Num23z8">
    <w:name w:val="WW8Num23z8"/>
    <w:rsid w:val="001A7756"/>
  </w:style>
  <w:style w:type="character" w:customStyle="1" w:styleId="WW8Num24z0">
    <w:name w:val="WW8Num24z0"/>
    <w:rsid w:val="001A7756"/>
  </w:style>
  <w:style w:type="character" w:customStyle="1" w:styleId="WW8Num24z1">
    <w:name w:val="WW8Num24z1"/>
    <w:rsid w:val="001A7756"/>
  </w:style>
  <w:style w:type="character" w:customStyle="1" w:styleId="WW8Num24z2">
    <w:name w:val="WW8Num24z2"/>
    <w:rsid w:val="001A7756"/>
  </w:style>
  <w:style w:type="character" w:customStyle="1" w:styleId="WW8Num24z3">
    <w:name w:val="WW8Num24z3"/>
    <w:rsid w:val="001A7756"/>
  </w:style>
  <w:style w:type="character" w:customStyle="1" w:styleId="WW8Num24z4">
    <w:name w:val="WW8Num24z4"/>
    <w:rsid w:val="001A7756"/>
  </w:style>
  <w:style w:type="character" w:customStyle="1" w:styleId="WW8Num24z5">
    <w:name w:val="WW8Num24z5"/>
    <w:rsid w:val="001A7756"/>
  </w:style>
  <w:style w:type="character" w:customStyle="1" w:styleId="WW8Num24z6">
    <w:name w:val="WW8Num24z6"/>
    <w:rsid w:val="001A7756"/>
  </w:style>
  <w:style w:type="character" w:customStyle="1" w:styleId="WW8Num24z7">
    <w:name w:val="WW8Num24z7"/>
    <w:rsid w:val="001A7756"/>
  </w:style>
  <w:style w:type="character" w:customStyle="1" w:styleId="WW8Num24z8">
    <w:name w:val="WW8Num24z8"/>
    <w:rsid w:val="001A7756"/>
  </w:style>
  <w:style w:type="character" w:customStyle="1" w:styleId="WW8Num25z0">
    <w:name w:val="WW8Num25z0"/>
    <w:rsid w:val="001A7756"/>
    <w:rPr>
      <w:rFonts w:ascii="Arial" w:eastAsia="Times New Roman" w:hAnsi="Arial" w:cs="Arial"/>
      <w:u w:val="single"/>
    </w:rPr>
  </w:style>
  <w:style w:type="character" w:customStyle="1" w:styleId="WW8Num25z1">
    <w:name w:val="WW8Num25z1"/>
    <w:rsid w:val="001A7756"/>
    <w:rPr>
      <w:rFonts w:ascii="Courier New" w:hAnsi="Courier New" w:cs="Courier New"/>
    </w:rPr>
  </w:style>
  <w:style w:type="character" w:customStyle="1" w:styleId="WW8Num25z2">
    <w:name w:val="WW8Num25z2"/>
    <w:rsid w:val="001A7756"/>
    <w:rPr>
      <w:rFonts w:ascii="Wingdings" w:hAnsi="Wingdings" w:cs="Wingdings"/>
    </w:rPr>
  </w:style>
  <w:style w:type="character" w:customStyle="1" w:styleId="WW8Num25z3">
    <w:name w:val="WW8Num25z3"/>
    <w:rsid w:val="001A7756"/>
    <w:rPr>
      <w:rFonts w:ascii="Symbol" w:hAnsi="Symbol" w:cs="Symbol"/>
    </w:rPr>
  </w:style>
  <w:style w:type="character" w:customStyle="1" w:styleId="WW8Num26z0">
    <w:name w:val="WW8Num26z0"/>
    <w:rsid w:val="001A7756"/>
    <w:rPr>
      <w:rFonts w:ascii="Symbol" w:hAnsi="Symbol" w:cs="Symbol"/>
    </w:rPr>
  </w:style>
  <w:style w:type="character" w:customStyle="1" w:styleId="WW8Num26z1">
    <w:name w:val="WW8Num26z1"/>
    <w:rsid w:val="001A7756"/>
    <w:rPr>
      <w:rFonts w:ascii="Courier New" w:hAnsi="Courier New" w:cs="Courier New"/>
    </w:rPr>
  </w:style>
  <w:style w:type="character" w:customStyle="1" w:styleId="WW8Num26z2">
    <w:name w:val="WW8Num26z2"/>
    <w:rsid w:val="001A7756"/>
    <w:rPr>
      <w:rFonts w:ascii="Wingdings" w:hAnsi="Wingdings" w:cs="Wingdings"/>
    </w:rPr>
  </w:style>
  <w:style w:type="character" w:customStyle="1" w:styleId="WW8Num26z3">
    <w:name w:val="WW8Num26z3"/>
    <w:rsid w:val="001A7756"/>
    <w:rPr>
      <w:rFonts w:ascii="Symbol" w:hAnsi="Symbol" w:cs="Symbol"/>
    </w:rPr>
  </w:style>
  <w:style w:type="character" w:customStyle="1" w:styleId="WW8Num27z0">
    <w:name w:val="WW8Num27z0"/>
    <w:rsid w:val="001A7756"/>
    <w:rPr>
      <w:sz w:val="28"/>
    </w:rPr>
  </w:style>
  <w:style w:type="character" w:customStyle="1" w:styleId="WW8Num27z1">
    <w:name w:val="WW8Num27z1"/>
    <w:rsid w:val="001A7756"/>
  </w:style>
  <w:style w:type="character" w:customStyle="1" w:styleId="WW8Num27z2">
    <w:name w:val="WW8Num27z2"/>
    <w:rsid w:val="001A7756"/>
  </w:style>
  <w:style w:type="character" w:customStyle="1" w:styleId="WW8Num27z3">
    <w:name w:val="WW8Num27z3"/>
    <w:rsid w:val="001A7756"/>
  </w:style>
  <w:style w:type="character" w:customStyle="1" w:styleId="WW8Num27z4">
    <w:name w:val="WW8Num27z4"/>
    <w:rsid w:val="001A7756"/>
  </w:style>
  <w:style w:type="character" w:customStyle="1" w:styleId="WW8Num27z5">
    <w:name w:val="WW8Num27z5"/>
    <w:rsid w:val="001A7756"/>
  </w:style>
  <w:style w:type="character" w:customStyle="1" w:styleId="WW8Num27z6">
    <w:name w:val="WW8Num27z6"/>
    <w:rsid w:val="001A7756"/>
  </w:style>
  <w:style w:type="character" w:customStyle="1" w:styleId="WW8Num27z7">
    <w:name w:val="WW8Num27z7"/>
    <w:rsid w:val="001A7756"/>
  </w:style>
  <w:style w:type="character" w:customStyle="1" w:styleId="WW8Num27z8">
    <w:name w:val="WW8Num27z8"/>
    <w:rsid w:val="001A7756"/>
  </w:style>
  <w:style w:type="character" w:customStyle="1" w:styleId="WW-DefaultParagraphFont1111">
    <w:name w:val="WW-Default Paragraph Font1111"/>
    <w:rsid w:val="001A7756"/>
  </w:style>
  <w:style w:type="character" w:customStyle="1" w:styleId="WW8Num13z4">
    <w:name w:val="WW8Num13z4"/>
    <w:rsid w:val="001A7756"/>
  </w:style>
  <w:style w:type="character" w:customStyle="1" w:styleId="WW8Num13z5">
    <w:name w:val="WW8Num13z5"/>
    <w:rsid w:val="001A7756"/>
  </w:style>
  <w:style w:type="character" w:customStyle="1" w:styleId="WW8Num13z6">
    <w:name w:val="WW8Num13z6"/>
    <w:rsid w:val="001A7756"/>
  </w:style>
  <w:style w:type="character" w:customStyle="1" w:styleId="WW8Num13z7">
    <w:name w:val="WW8Num13z7"/>
    <w:rsid w:val="001A7756"/>
  </w:style>
  <w:style w:type="character" w:customStyle="1" w:styleId="WW8Num13z8">
    <w:name w:val="WW8Num13z8"/>
    <w:rsid w:val="001A7756"/>
  </w:style>
  <w:style w:type="character" w:customStyle="1" w:styleId="WW-DefaultParagraphFont11111">
    <w:name w:val="WW-Default Paragraph Font11111"/>
    <w:rsid w:val="001A7756"/>
  </w:style>
  <w:style w:type="character" w:customStyle="1" w:styleId="WW-DefaultParagraphFont111111">
    <w:name w:val="WW-Default Paragraph Font111111"/>
    <w:rsid w:val="001A7756"/>
  </w:style>
  <w:style w:type="character" w:customStyle="1" w:styleId="WW8Num4z1">
    <w:name w:val="WW8Num4z1"/>
    <w:rsid w:val="001A7756"/>
  </w:style>
  <w:style w:type="character" w:customStyle="1" w:styleId="WW8Num4z2">
    <w:name w:val="WW8Num4z2"/>
    <w:rsid w:val="001A7756"/>
  </w:style>
  <w:style w:type="character" w:customStyle="1" w:styleId="WW8Num4z3">
    <w:name w:val="WW8Num4z3"/>
    <w:rsid w:val="001A7756"/>
  </w:style>
  <w:style w:type="character" w:customStyle="1" w:styleId="WW8Num4z4">
    <w:name w:val="WW8Num4z4"/>
    <w:rsid w:val="001A7756"/>
  </w:style>
  <w:style w:type="character" w:customStyle="1" w:styleId="WW8Num4z5">
    <w:name w:val="WW8Num4z5"/>
    <w:rsid w:val="001A7756"/>
  </w:style>
  <w:style w:type="character" w:customStyle="1" w:styleId="WW8Num4z6">
    <w:name w:val="WW8Num4z6"/>
    <w:rsid w:val="001A7756"/>
  </w:style>
  <w:style w:type="character" w:customStyle="1" w:styleId="WW8Num4z7">
    <w:name w:val="WW8Num4z7"/>
    <w:rsid w:val="001A7756"/>
  </w:style>
  <w:style w:type="character" w:customStyle="1" w:styleId="WW8Num4z8">
    <w:name w:val="WW8Num4z8"/>
    <w:rsid w:val="001A7756"/>
  </w:style>
  <w:style w:type="character" w:customStyle="1" w:styleId="WW8Num6z4">
    <w:name w:val="WW8Num6z4"/>
    <w:rsid w:val="001A7756"/>
  </w:style>
  <w:style w:type="character" w:customStyle="1" w:styleId="WW8Num6z5">
    <w:name w:val="WW8Num6z5"/>
    <w:rsid w:val="001A7756"/>
  </w:style>
  <w:style w:type="character" w:customStyle="1" w:styleId="WW8Num6z6">
    <w:name w:val="WW8Num6z6"/>
    <w:rsid w:val="001A7756"/>
  </w:style>
  <w:style w:type="character" w:customStyle="1" w:styleId="WW8Num6z7">
    <w:name w:val="WW8Num6z7"/>
    <w:rsid w:val="001A7756"/>
  </w:style>
  <w:style w:type="character" w:customStyle="1" w:styleId="WW8Num6z8">
    <w:name w:val="WW8Num6z8"/>
    <w:rsid w:val="001A7756"/>
  </w:style>
  <w:style w:type="character" w:customStyle="1" w:styleId="WW8Num26z4">
    <w:name w:val="WW8Num26z4"/>
    <w:rsid w:val="001A7756"/>
  </w:style>
  <w:style w:type="character" w:customStyle="1" w:styleId="WW8Num26z5">
    <w:name w:val="WW8Num26z5"/>
    <w:rsid w:val="001A7756"/>
  </w:style>
  <w:style w:type="character" w:customStyle="1" w:styleId="WW8Num26z6">
    <w:name w:val="WW8Num26z6"/>
    <w:rsid w:val="001A7756"/>
  </w:style>
  <w:style w:type="character" w:customStyle="1" w:styleId="WW8Num26z7">
    <w:name w:val="WW8Num26z7"/>
    <w:rsid w:val="001A7756"/>
  </w:style>
  <w:style w:type="character" w:customStyle="1" w:styleId="WW8Num26z8">
    <w:name w:val="WW8Num26z8"/>
    <w:rsid w:val="001A7756"/>
  </w:style>
  <w:style w:type="character" w:customStyle="1" w:styleId="WW8Num28z0">
    <w:name w:val="WW8Num28z0"/>
    <w:rsid w:val="001A7756"/>
    <w:rPr>
      <w:rFonts w:ascii="Arial" w:eastAsia="Times New Roman" w:hAnsi="Arial" w:cs="Arial"/>
    </w:rPr>
  </w:style>
  <w:style w:type="character" w:customStyle="1" w:styleId="WW8Num28z1">
    <w:name w:val="WW8Num28z1"/>
    <w:rsid w:val="001A7756"/>
    <w:rPr>
      <w:rFonts w:ascii="Courier New" w:hAnsi="Courier New" w:cs="Courier New"/>
    </w:rPr>
  </w:style>
  <w:style w:type="character" w:customStyle="1" w:styleId="WW8Num28z2">
    <w:name w:val="WW8Num28z2"/>
    <w:rsid w:val="001A7756"/>
    <w:rPr>
      <w:rFonts w:ascii="Wingdings" w:hAnsi="Wingdings" w:cs="Wingdings"/>
    </w:rPr>
  </w:style>
  <w:style w:type="character" w:customStyle="1" w:styleId="WW8Num28z3">
    <w:name w:val="WW8Num28z3"/>
    <w:rsid w:val="001A7756"/>
    <w:rPr>
      <w:rFonts w:ascii="Symbol" w:hAnsi="Symbol" w:cs="Symbol"/>
    </w:rPr>
  </w:style>
  <w:style w:type="character" w:customStyle="1" w:styleId="WW8Num29z0">
    <w:name w:val="WW8Num29z0"/>
    <w:rsid w:val="001A7756"/>
    <w:rPr>
      <w:b w:val="0"/>
      <w:i w:val="0"/>
    </w:rPr>
  </w:style>
  <w:style w:type="character" w:customStyle="1" w:styleId="WW8Num29z1">
    <w:name w:val="WW8Num29z1"/>
    <w:rsid w:val="001A7756"/>
  </w:style>
  <w:style w:type="character" w:customStyle="1" w:styleId="WW8Num29z2">
    <w:name w:val="WW8Num29z2"/>
    <w:rsid w:val="001A7756"/>
  </w:style>
  <w:style w:type="character" w:customStyle="1" w:styleId="WW8Num29z3">
    <w:name w:val="WW8Num29z3"/>
    <w:rsid w:val="001A7756"/>
  </w:style>
  <w:style w:type="character" w:customStyle="1" w:styleId="WW8Num29z4">
    <w:name w:val="WW8Num29z4"/>
    <w:rsid w:val="001A7756"/>
  </w:style>
  <w:style w:type="character" w:customStyle="1" w:styleId="WW8Num29z5">
    <w:name w:val="WW8Num29z5"/>
    <w:rsid w:val="001A7756"/>
  </w:style>
  <w:style w:type="character" w:customStyle="1" w:styleId="WW8Num29z6">
    <w:name w:val="WW8Num29z6"/>
    <w:rsid w:val="001A7756"/>
  </w:style>
  <w:style w:type="character" w:customStyle="1" w:styleId="WW8Num29z7">
    <w:name w:val="WW8Num29z7"/>
    <w:rsid w:val="001A7756"/>
  </w:style>
  <w:style w:type="character" w:customStyle="1" w:styleId="WW8Num29z8">
    <w:name w:val="WW8Num29z8"/>
    <w:rsid w:val="001A7756"/>
  </w:style>
  <w:style w:type="character" w:customStyle="1" w:styleId="WW8Num30z0">
    <w:name w:val="WW8Num30z0"/>
    <w:rsid w:val="001A7756"/>
    <w:rPr>
      <w:rFonts w:ascii="Wingdings" w:hAnsi="Wingdings" w:cs="Wingdings"/>
    </w:rPr>
  </w:style>
  <w:style w:type="character" w:customStyle="1" w:styleId="WW8Num30z1">
    <w:name w:val="WW8Num30z1"/>
    <w:rsid w:val="001A7756"/>
    <w:rPr>
      <w:rFonts w:ascii="Arial Narrow" w:eastAsia="Times New Roman" w:hAnsi="Arial Narrow" w:cs="Arial"/>
    </w:rPr>
  </w:style>
  <w:style w:type="character" w:customStyle="1" w:styleId="WW8Num30z3">
    <w:name w:val="WW8Num30z3"/>
    <w:rsid w:val="001A7756"/>
    <w:rPr>
      <w:rFonts w:ascii="Symbol" w:hAnsi="Symbol" w:cs="Symbol"/>
    </w:rPr>
  </w:style>
  <w:style w:type="character" w:customStyle="1" w:styleId="WW8Num30z4">
    <w:name w:val="WW8Num30z4"/>
    <w:rsid w:val="001A7756"/>
    <w:rPr>
      <w:rFonts w:ascii="Courier New" w:hAnsi="Courier New" w:cs="Courier New"/>
    </w:rPr>
  </w:style>
  <w:style w:type="character" w:customStyle="1" w:styleId="WW8Num31z0">
    <w:name w:val="WW8Num31z0"/>
    <w:rsid w:val="001A7756"/>
  </w:style>
  <w:style w:type="character" w:customStyle="1" w:styleId="WW8Num31z1">
    <w:name w:val="WW8Num31z1"/>
    <w:rsid w:val="001A7756"/>
    <w:rPr>
      <w:rFonts w:ascii="Arial Narrow" w:eastAsia="Times New Roman" w:hAnsi="Arial Narrow" w:cs="Arial"/>
    </w:rPr>
  </w:style>
  <w:style w:type="character" w:customStyle="1" w:styleId="WW8Num31z2">
    <w:name w:val="WW8Num31z2"/>
    <w:rsid w:val="001A7756"/>
  </w:style>
  <w:style w:type="character" w:customStyle="1" w:styleId="WW8Num31z3">
    <w:name w:val="WW8Num31z3"/>
    <w:rsid w:val="001A7756"/>
  </w:style>
  <w:style w:type="character" w:customStyle="1" w:styleId="WW8Num31z4">
    <w:name w:val="WW8Num31z4"/>
    <w:rsid w:val="001A7756"/>
  </w:style>
  <w:style w:type="character" w:customStyle="1" w:styleId="WW8Num31z5">
    <w:name w:val="WW8Num31z5"/>
    <w:rsid w:val="001A7756"/>
  </w:style>
  <w:style w:type="character" w:customStyle="1" w:styleId="WW8Num31z6">
    <w:name w:val="WW8Num31z6"/>
    <w:rsid w:val="001A7756"/>
  </w:style>
  <w:style w:type="character" w:customStyle="1" w:styleId="WW8Num31z7">
    <w:name w:val="WW8Num31z7"/>
    <w:rsid w:val="001A7756"/>
  </w:style>
  <w:style w:type="character" w:customStyle="1" w:styleId="WW8Num31z8">
    <w:name w:val="WW8Num31z8"/>
    <w:rsid w:val="001A7756"/>
  </w:style>
  <w:style w:type="character" w:customStyle="1" w:styleId="WW8Num32z0">
    <w:name w:val="WW8Num32z0"/>
    <w:rsid w:val="001A7756"/>
    <w:rPr>
      <w:rFonts w:ascii="Arial Narrow" w:eastAsia="Times New Roman" w:hAnsi="Arial Narrow" w:cs="Arial"/>
    </w:rPr>
  </w:style>
  <w:style w:type="character" w:customStyle="1" w:styleId="WW8Num32z1">
    <w:name w:val="WW8Num32z1"/>
    <w:rsid w:val="001A7756"/>
    <w:rPr>
      <w:rFonts w:ascii="Courier New" w:hAnsi="Courier New" w:cs="Courier New"/>
    </w:rPr>
  </w:style>
  <w:style w:type="character" w:customStyle="1" w:styleId="WW8Num32z2">
    <w:name w:val="WW8Num32z2"/>
    <w:rsid w:val="001A7756"/>
    <w:rPr>
      <w:rFonts w:ascii="Wingdings" w:hAnsi="Wingdings" w:cs="Wingdings"/>
    </w:rPr>
  </w:style>
  <w:style w:type="character" w:customStyle="1" w:styleId="WW8Num32z3">
    <w:name w:val="WW8Num32z3"/>
    <w:rsid w:val="001A7756"/>
    <w:rPr>
      <w:rFonts w:ascii="Symbol" w:hAnsi="Symbol" w:cs="Symbol"/>
    </w:rPr>
  </w:style>
  <w:style w:type="character" w:customStyle="1" w:styleId="WW8Num33z0">
    <w:name w:val="WW8Num33z0"/>
    <w:rsid w:val="001A7756"/>
    <w:rPr>
      <w:rFonts w:ascii="Arial Narrow" w:eastAsia="Times New Roman" w:hAnsi="Arial Narrow" w:cs="Arial"/>
    </w:rPr>
  </w:style>
  <w:style w:type="character" w:customStyle="1" w:styleId="WW8Num33z1">
    <w:name w:val="WW8Num33z1"/>
    <w:rsid w:val="001A7756"/>
    <w:rPr>
      <w:rFonts w:ascii="Courier New" w:hAnsi="Courier New" w:cs="Courier New"/>
    </w:rPr>
  </w:style>
  <w:style w:type="character" w:customStyle="1" w:styleId="WW8Num33z2">
    <w:name w:val="WW8Num33z2"/>
    <w:rsid w:val="001A7756"/>
    <w:rPr>
      <w:rFonts w:ascii="Wingdings" w:hAnsi="Wingdings" w:cs="Wingdings"/>
    </w:rPr>
  </w:style>
  <w:style w:type="character" w:customStyle="1" w:styleId="WW8Num33z3">
    <w:name w:val="WW8Num33z3"/>
    <w:rsid w:val="001A7756"/>
    <w:rPr>
      <w:rFonts w:ascii="Symbol" w:hAnsi="Symbol" w:cs="Symbol"/>
    </w:rPr>
  </w:style>
  <w:style w:type="character" w:customStyle="1" w:styleId="WW8Num34z0">
    <w:name w:val="WW8Num34z0"/>
    <w:rsid w:val="001A7756"/>
    <w:rPr>
      <w:b w:val="0"/>
    </w:rPr>
  </w:style>
  <w:style w:type="character" w:customStyle="1" w:styleId="WW8Num34z1">
    <w:name w:val="WW8Num34z1"/>
    <w:rsid w:val="001A7756"/>
  </w:style>
  <w:style w:type="character" w:customStyle="1" w:styleId="WW8Num34z2">
    <w:name w:val="WW8Num34z2"/>
    <w:rsid w:val="001A7756"/>
  </w:style>
  <w:style w:type="character" w:customStyle="1" w:styleId="WW8Num34z3">
    <w:name w:val="WW8Num34z3"/>
    <w:rsid w:val="001A7756"/>
  </w:style>
  <w:style w:type="character" w:customStyle="1" w:styleId="WW8Num34z4">
    <w:name w:val="WW8Num34z4"/>
    <w:rsid w:val="001A7756"/>
  </w:style>
  <w:style w:type="character" w:customStyle="1" w:styleId="WW8Num34z5">
    <w:name w:val="WW8Num34z5"/>
    <w:rsid w:val="001A7756"/>
  </w:style>
  <w:style w:type="character" w:customStyle="1" w:styleId="WW8Num34z6">
    <w:name w:val="WW8Num34z6"/>
    <w:rsid w:val="001A7756"/>
  </w:style>
  <w:style w:type="character" w:customStyle="1" w:styleId="WW8Num34z7">
    <w:name w:val="WW8Num34z7"/>
    <w:rsid w:val="001A7756"/>
  </w:style>
  <w:style w:type="character" w:customStyle="1" w:styleId="WW8Num34z8">
    <w:name w:val="WW8Num34z8"/>
    <w:rsid w:val="001A7756"/>
  </w:style>
  <w:style w:type="character" w:customStyle="1" w:styleId="WW8Num35z0">
    <w:name w:val="WW8Num35z0"/>
    <w:rsid w:val="001A7756"/>
    <w:rPr>
      <w:rFonts w:ascii="Symbol" w:eastAsia="Calibri" w:hAnsi="Symbol" w:cs="Symbol"/>
      <w:color w:val="00000A"/>
    </w:rPr>
  </w:style>
  <w:style w:type="character" w:customStyle="1" w:styleId="WW8Num35z1">
    <w:name w:val="WW8Num35z1"/>
    <w:rsid w:val="001A7756"/>
    <w:rPr>
      <w:rFonts w:ascii="Courier New" w:hAnsi="Courier New" w:cs="Courier New"/>
    </w:rPr>
  </w:style>
  <w:style w:type="character" w:customStyle="1" w:styleId="WW8Num35z2">
    <w:name w:val="WW8Num35z2"/>
    <w:rsid w:val="001A7756"/>
    <w:rPr>
      <w:rFonts w:ascii="Wingdings" w:hAnsi="Wingdings" w:cs="Wingdings"/>
    </w:rPr>
  </w:style>
  <w:style w:type="character" w:customStyle="1" w:styleId="WW8Num35z3">
    <w:name w:val="WW8Num35z3"/>
    <w:rsid w:val="001A7756"/>
    <w:rPr>
      <w:rFonts w:ascii="Symbol" w:hAnsi="Symbol" w:cs="Symbol"/>
    </w:rPr>
  </w:style>
  <w:style w:type="character" w:customStyle="1" w:styleId="WW8Num36z0">
    <w:name w:val="WW8Num36z0"/>
    <w:rsid w:val="001A7756"/>
    <w:rPr>
      <w:rFonts w:ascii="Wingdings" w:hAnsi="Wingdings" w:cs="Wingdings"/>
    </w:rPr>
  </w:style>
  <w:style w:type="character" w:customStyle="1" w:styleId="WW8Num36z1">
    <w:name w:val="WW8Num36z1"/>
    <w:rsid w:val="001A7756"/>
  </w:style>
  <w:style w:type="character" w:customStyle="1" w:styleId="WW8Num36z2">
    <w:name w:val="WW8Num36z2"/>
    <w:rsid w:val="001A7756"/>
  </w:style>
  <w:style w:type="character" w:customStyle="1" w:styleId="WW8Num36z3">
    <w:name w:val="WW8Num36z3"/>
    <w:rsid w:val="001A7756"/>
  </w:style>
  <w:style w:type="character" w:customStyle="1" w:styleId="WW8Num36z4">
    <w:name w:val="WW8Num36z4"/>
    <w:rsid w:val="001A7756"/>
  </w:style>
  <w:style w:type="character" w:customStyle="1" w:styleId="WW8Num36z5">
    <w:name w:val="WW8Num36z5"/>
    <w:rsid w:val="001A7756"/>
  </w:style>
  <w:style w:type="character" w:customStyle="1" w:styleId="WW8Num36z6">
    <w:name w:val="WW8Num36z6"/>
    <w:rsid w:val="001A7756"/>
  </w:style>
  <w:style w:type="character" w:customStyle="1" w:styleId="WW8Num36z7">
    <w:name w:val="WW8Num36z7"/>
    <w:rsid w:val="001A7756"/>
  </w:style>
  <w:style w:type="character" w:customStyle="1" w:styleId="WW8Num36z8">
    <w:name w:val="WW8Num36z8"/>
    <w:rsid w:val="001A7756"/>
  </w:style>
  <w:style w:type="character" w:customStyle="1" w:styleId="WW8Num37z0">
    <w:name w:val="WW8Num37z0"/>
    <w:rsid w:val="001A7756"/>
    <w:rPr>
      <w:rFonts w:ascii="Arial" w:eastAsia="Times New Roman" w:hAnsi="Arial" w:cs="Arial"/>
    </w:rPr>
  </w:style>
  <w:style w:type="character" w:customStyle="1" w:styleId="WW8Num37z1">
    <w:name w:val="WW8Num37z1"/>
    <w:rsid w:val="001A7756"/>
    <w:rPr>
      <w:rFonts w:ascii="Courier New" w:hAnsi="Courier New" w:cs="Courier New"/>
    </w:rPr>
  </w:style>
  <w:style w:type="character" w:customStyle="1" w:styleId="WW8Num37z2">
    <w:name w:val="WW8Num37z2"/>
    <w:rsid w:val="001A7756"/>
    <w:rPr>
      <w:rFonts w:ascii="Wingdings" w:hAnsi="Wingdings" w:cs="Wingdings"/>
    </w:rPr>
  </w:style>
  <w:style w:type="character" w:customStyle="1" w:styleId="WW8Num37z3">
    <w:name w:val="WW8Num37z3"/>
    <w:rsid w:val="001A7756"/>
    <w:rPr>
      <w:rFonts w:ascii="Symbol" w:hAnsi="Symbol" w:cs="Symbol"/>
    </w:rPr>
  </w:style>
  <w:style w:type="character" w:customStyle="1" w:styleId="WW8Num38z0">
    <w:name w:val="WW8Num38z0"/>
    <w:rsid w:val="001A7756"/>
    <w:rPr>
      <w:rFonts w:ascii="Symbol" w:hAnsi="Symbol" w:cs="Symbol"/>
      <w:color w:val="00000A"/>
    </w:rPr>
  </w:style>
  <w:style w:type="character" w:customStyle="1" w:styleId="WW8Num38z2">
    <w:name w:val="WW8Num38z2"/>
    <w:rsid w:val="001A7756"/>
    <w:rPr>
      <w:rFonts w:ascii="Wingdings" w:hAnsi="Wingdings" w:cs="Wingdings"/>
    </w:rPr>
  </w:style>
  <w:style w:type="character" w:customStyle="1" w:styleId="WW8Num38z3">
    <w:name w:val="WW8Num38z3"/>
    <w:rsid w:val="001A7756"/>
    <w:rPr>
      <w:rFonts w:ascii="Symbol" w:hAnsi="Symbol" w:cs="Symbol"/>
    </w:rPr>
  </w:style>
  <w:style w:type="character" w:customStyle="1" w:styleId="WW8Num38z4">
    <w:name w:val="WW8Num38z4"/>
    <w:rsid w:val="001A7756"/>
    <w:rPr>
      <w:rFonts w:ascii="Courier New" w:hAnsi="Courier New" w:cs="Courier New"/>
    </w:rPr>
  </w:style>
  <w:style w:type="character" w:customStyle="1" w:styleId="WW8Num39z0">
    <w:name w:val="WW8Num39z0"/>
    <w:rsid w:val="001A7756"/>
    <w:rPr>
      <w:rFonts w:ascii="Symbol" w:hAnsi="Symbol" w:cs="Symbol"/>
    </w:rPr>
  </w:style>
  <w:style w:type="character" w:customStyle="1" w:styleId="WW8Num39z1">
    <w:name w:val="WW8Num39z1"/>
    <w:rsid w:val="001A7756"/>
    <w:rPr>
      <w:rFonts w:ascii="Wingdings" w:hAnsi="Wingdings" w:cs="Wingdings"/>
    </w:rPr>
  </w:style>
  <w:style w:type="character" w:customStyle="1" w:styleId="WW8Num39z4">
    <w:name w:val="WW8Num39z4"/>
    <w:rsid w:val="001A7756"/>
    <w:rPr>
      <w:rFonts w:ascii="Courier New" w:hAnsi="Courier New" w:cs="Courier New"/>
    </w:rPr>
  </w:style>
  <w:style w:type="character" w:customStyle="1" w:styleId="WW8Num40z0">
    <w:name w:val="WW8Num40z0"/>
    <w:rsid w:val="001A7756"/>
    <w:rPr>
      <w:b/>
    </w:rPr>
  </w:style>
  <w:style w:type="character" w:customStyle="1" w:styleId="WW8Num40z1">
    <w:name w:val="WW8Num40z1"/>
    <w:rsid w:val="001A7756"/>
  </w:style>
  <w:style w:type="character" w:customStyle="1" w:styleId="WW8Num40z2">
    <w:name w:val="WW8Num40z2"/>
    <w:rsid w:val="001A7756"/>
  </w:style>
  <w:style w:type="character" w:customStyle="1" w:styleId="WW8Num40z3">
    <w:name w:val="WW8Num40z3"/>
    <w:rsid w:val="001A7756"/>
  </w:style>
  <w:style w:type="character" w:customStyle="1" w:styleId="WW8Num40z4">
    <w:name w:val="WW8Num40z4"/>
    <w:rsid w:val="001A7756"/>
  </w:style>
  <w:style w:type="character" w:customStyle="1" w:styleId="WW8Num40z5">
    <w:name w:val="WW8Num40z5"/>
    <w:rsid w:val="001A7756"/>
  </w:style>
  <w:style w:type="character" w:customStyle="1" w:styleId="WW8Num40z6">
    <w:name w:val="WW8Num40z6"/>
    <w:rsid w:val="001A7756"/>
  </w:style>
  <w:style w:type="character" w:customStyle="1" w:styleId="WW8Num40z7">
    <w:name w:val="WW8Num40z7"/>
    <w:rsid w:val="001A7756"/>
  </w:style>
  <w:style w:type="character" w:customStyle="1" w:styleId="WW8Num40z8">
    <w:name w:val="WW8Num40z8"/>
    <w:rsid w:val="001A7756"/>
  </w:style>
  <w:style w:type="character" w:customStyle="1" w:styleId="WW8Num41z0">
    <w:name w:val="WW8Num41z0"/>
    <w:rsid w:val="001A7756"/>
    <w:rPr>
      <w:rFonts w:ascii="Wingdings" w:hAnsi="Wingdings" w:cs="Wingdings"/>
    </w:rPr>
  </w:style>
  <w:style w:type="character" w:customStyle="1" w:styleId="WW8Num41z1">
    <w:name w:val="WW8Num41z1"/>
    <w:rsid w:val="001A7756"/>
    <w:rPr>
      <w:rFonts w:ascii="Courier New" w:hAnsi="Courier New" w:cs="Courier New"/>
    </w:rPr>
  </w:style>
  <w:style w:type="character" w:customStyle="1" w:styleId="WW8Num41z3">
    <w:name w:val="WW8Num41z3"/>
    <w:rsid w:val="001A7756"/>
    <w:rPr>
      <w:rFonts w:ascii="Symbol" w:hAnsi="Symbol" w:cs="Symbol"/>
    </w:rPr>
  </w:style>
  <w:style w:type="character" w:customStyle="1" w:styleId="WW8Num42z0">
    <w:name w:val="WW8Num42z0"/>
    <w:rsid w:val="001A7756"/>
    <w:rPr>
      <w:rFonts w:ascii="Arial" w:eastAsia="Times New Roman" w:hAnsi="Arial" w:cs="Arial"/>
    </w:rPr>
  </w:style>
  <w:style w:type="character" w:customStyle="1" w:styleId="WW8Num42z1">
    <w:name w:val="WW8Num42z1"/>
    <w:rsid w:val="001A7756"/>
    <w:rPr>
      <w:rFonts w:ascii="Courier New" w:hAnsi="Courier New" w:cs="Courier New"/>
    </w:rPr>
  </w:style>
  <w:style w:type="character" w:customStyle="1" w:styleId="WW8Num42z2">
    <w:name w:val="WW8Num42z2"/>
    <w:rsid w:val="001A7756"/>
    <w:rPr>
      <w:rFonts w:ascii="Wingdings" w:hAnsi="Wingdings" w:cs="Wingdings"/>
    </w:rPr>
  </w:style>
  <w:style w:type="character" w:customStyle="1" w:styleId="WW8Num42z3">
    <w:name w:val="WW8Num42z3"/>
    <w:rsid w:val="001A7756"/>
    <w:rPr>
      <w:rFonts w:ascii="Symbol" w:hAnsi="Symbol" w:cs="Symbol"/>
    </w:rPr>
  </w:style>
  <w:style w:type="character" w:customStyle="1" w:styleId="WW8Num43z0">
    <w:name w:val="WW8Num43z0"/>
    <w:rsid w:val="001A7756"/>
  </w:style>
  <w:style w:type="character" w:customStyle="1" w:styleId="WW8Num43z1">
    <w:name w:val="WW8Num43z1"/>
    <w:rsid w:val="001A7756"/>
  </w:style>
  <w:style w:type="character" w:customStyle="1" w:styleId="WW8Num43z2">
    <w:name w:val="WW8Num43z2"/>
    <w:rsid w:val="001A7756"/>
  </w:style>
  <w:style w:type="character" w:customStyle="1" w:styleId="WW8Num43z3">
    <w:name w:val="WW8Num43z3"/>
    <w:rsid w:val="001A7756"/>
  </w:style>
  <w:style w:type="character" w:customStyle="1" w:styleId="WW8Num43z4">
    <w:name w:val="WW8Num43z4"/>
    <w:rsid w:val="001A7756"/>
  </w:style>
  <w:style w:type="character" w:customStyle="1" w:styleId="WW8Num43z5">
    <w:name w:val="WW8Num43z5"/>
    <w:rsid w:val="001A7756"/>
  </w:style>
  <w:style w:type="character" w:customStyle="1" w:styleId="WW8Num43z6">
    <w:name w:val="WW8Num43z6"/>
    <w:rsid w:val="001A7756"/>
  </w:style>
  <w:style w:type="character" w:customStyle="1" w:styleId="WW8Num43z7">
    <w:name w:val="WW8Num43z7"/>
    <w:rsid w:val="001A7756"/>
  </w:style>
  <w:style w:type="character" w:customStyle="1" w:styleId="WW8Num43z8">
    <w:name w:val="WW8Num43z8"/>
    <w:rsid w:val="001A7756"/>
  </w:style>
  <w:style w:type="character" w:customStyle="1" w:styleId="WW-DefaultParagraphFont1111111">
    <w:name w:val="WW-Default Paragraph Font1111111"/>
    <w:rsid w:val="001A7756"/>
  </w:style>
  <w:style w:type="character" w:customStyle="1" w:styleId="Style14ptBold">
    <w:name w:val="Style 14 pt Bold"/>
    <w:rsid w:val="001A7756"/>
    <w:rPr>
      <w:rFonts w:ascii="Times New Roman" w:hAnsi="Times New Roman" w:cs="Times New Roman"/>
      <w:b/>
      <w:bCs/>
      <w:sz w:val="24"/>
    </w:rPr>
  </w:style>
  <w:style w:type="character" w:customStyle="1" w:styleId="FootnoteCharacters">
    <w:name w:val="Footnote Characters"/>
    <w:rsid w:val="001A7756"/>
    <w:rPr>
      <w:vertAlign w:val="superscript"/>
    </w:rPr>
  </w:style>
  <w:style w:type="character" w:customStyle="1" w:styleId="StyleFootnoteReferenceArial">
    <w:name w:val="Style Footnote Reference + Arial"/>
    <w:rsid w:val="001A7756"/>
    <w:rPr>
      <w:rFonts w:ascii="Arial" w:hAnsi="Arial" w:cs="Arial"/>
      <w:sz w:val="20"/>
      <w:vertAlign w:val="superscript"/>
    </w:rPr>
  </w:style>
  <w:style w:type="character" w:customStyle="1" w:styleId="PageNumber1">
    <w:name w:val="Page Number1"/>
    <w:basedOn w:val="WW-DefaultParagraphFont1111111"/>
    <w:rsid w:val="001A7756"/>
  </w:style>
  <w:style w:type="character" w:customStyle="1" w:styleId="DefaultTextCaracter">
    <w:name w:val="Default Text Caracter"/>
    <w:rsid w:val="001A7756"/>
    <w:rPr>
      <w:sz w:val="24"/>
      <w:szCs w:val="24"/>
      <w:lang w:val="en-US" w:bidi="ar-SA"/>
    </w:rPr>
  </w:style>
  <w:style w:type="character" w:customStyle="1" w:styleId="DefaultTextChar">
    <w:name w:val="Default Text Char"/>
    <w:rsid w:val="001A7756"/>
    <w:rPr>
      <w:sz w:val="24"/>
      <w:szCs w:val="24"/>
      <w:lang w:val="en-US" w:bidi="ar-SA"/>
    </w:rPr>
  </w:style>
  <w:style w:type="character" w:customStyle="1" w:styleId="FontStyle14">
    <w:name w:val="Font Style14"/>
    <w:rsid w:val="001A7756"/>
    <w:rPr>
      <w:rFonts w:ascii="Times New Roman" w:hAnsi="Times New Roman" w:cs="Times New Roman"/>
      <w:sz w:val="20"/>
      <w:szCs w:val="20"/>
    </w:rPr>
  </w:style>
  <w:style w:type="character" w:customStyle="1" w:styleId="CaracterCaracterChar">
    <w:name w:val="Caracter Caracter Char"/>
    <w:rsid w:val="001A7756"/>
    <w:rPr>
      <w:rFonts w:ascii="Tahoma" w:hAnsi="Tahoma" w:cs="Tahoma"/>
      <w:sz w:val="24"/>
      <w:szCs w:val="24"/>
      <w:lang w:val="pl-PL" w:bidi="ar-SA"/>
    </w:rPr>
  </w:style>
  <w:style w:type="character" w:customStyle="1" w:styleId="fontstyle13">
    <w:name w:val="fontstyle13"/>
    <w:basedOn w:val="WW-DefaultParagraphFont1111111"/>
    <w:rsid w:val="001A7756"/>
  </w:style>
  <w:style w:type="character" w:customStyle="1" w:styleId="ParagraphNumberingChar">
    <w:name w:val="Paragraph Numbering Char"/>
    <w:rsid w:val="001A7756"/>
    <w:rPr>
      <w:rFonts w:eastAsia="SimSun"/>
      <w:sz w:val="24"/>
      <w:szCs w:val="24"/>
      <w:lang w:val="en-US" w:bidi="ar-SA"/>
    </w:rPr>
  </w:style>
  <w:style w:type="character" w:customStyle="1" w:styleId="CommentReference1">
    <w:name w:val="Comment Reference1"/>
    <w:rsid w:val="001A7756"/>
    <w:rPr>
      <w:sz w:val="16"/>
      <w:szCs w:val="16"/>
    </w:rPr>
  </w:style>
  <w:style w:type="character" w:customStyle="1" w:styleId="ln2tlitera">
    <w:name w:val="ln2tlitera"/>
    <w:rsid w:val="001A7756"/>
    <w:rPr>
      <w:rFonts w:cs="Times New Roman"/>
    </w:rPr>
  </w:style>
  <w:style w:type="character" w:customStyle="1" w:styleId="ListParagraphChar">
    <w:name w:val="List Paragraph Char"/>
    <w:rsid w:val="001A7756"/>
    <w:rPr>
      <w:sz w:val="24"/>
      <w:szCs w:val="24"/>
      <w:lang w:val="en-GB" w:bidi="ar-SA"/>
    </w:rPr>
  </w:style>
  <w:style w:type="character" w:styleId="IntenseEmphasis">
    <w:name w:val="Intense Emphasis"/>
    <w:qFormat/>
    <w:rsid w:val="001A7756"/>
    <w:rPr>
      <w:i/>
      <w:iCs/>
      <w:color w:val="5B9BD5"/>
    </w:rPr>
  </w:style>
  <w:style w:type="character" w:customStyle="1" w:styleId="articol1">
    <w:name w:val="articol1"/>
    <w:rsid w:val="001A7756"/>
    <w:rPr>
      <w:b/>
      <w:color w:val="00000A"/>
    </w:rPr>
  </w:style>
  <w:style w:type="character" w:customStyle="1" w:styleId="apple-converted-space">
    <w:name w:val="apple-converted-space"/>
    <w:basedOn w:val="WW-DefaultParagraphFont1111111"/>
    <w:rsid w:val="001A7756"/>
  </w:style>
  <w:style w:type="character" w:styleId="Strong">
    <w:name w:val="Strong"/>
    <w:qFormat/>
    <w:rsid w:val="001A7756"/>
    <w:rPr>
      <w:b/>
      <w:bCs/>
    </w:rPr>
  </w:style>
  <w:style w:type="character" w:customStyle="1" w:styleId="FootnoteReference1">
    <w:name w:val="Footnote Reference1"/>
    <w:rsid w:val="001A7756"/>
    <w:rPr>
      <w:vertAlign w:val="superscript"/>
    </w:rPr>
  </w:style>
  <w:style w:type="character" w:customStyle="1" w:styleId="EndnoteCharacters">
    <w:name w:val="Endnote Characters"/>
    <w:rsid w:val="001A7756"/>
    <w:rPr>
      <w:vertAlign w:val="superscript"/>
    </w:rPr>
  </w:style>
  <w:style w:type="character" w:customStyle="1" w:styleId="WW-EndnoteCharacters">
    <w:name w:val="WW-Endnote Characters"/>
    <w:rsid w:val="001A7756"/>
  </w:style>
  <w:style w:type="character" w:customStyle="1" w:styleId="HeaderChar">
    <w:name w:val="Header Char"/>
    <w:rsid w:val="001A7756"/>
    <w:rPr>
      <w:sz w:val="28"/>
      <w:szCs w:val="28"/>
      <w:lang w:eastAsia="zh-CN"/>
    </w:rPr>
  </w:style>
  <w:style w:type="character" w:customStyle="1" w:styleId="BodyTextChar">
    <w:name w:val="Body Text Char"/>
    <w:rsid w:val="001A7756"/>
    <w:rPr>
      <w:sz w:val="24"/>
      <w:szCs w:val="24"/>
      <w:lang w:eastAsia="zh-CN"/>
    </w:rPr>
  </w:style>
  <w:style w:type="character" w:styleId="Hyperlink">
    <w:name w:val="Hyperlink"/>
    <w:rsid w:val="001A7756"/>
    <w:rPr>
      <w:color w:val="0000FF"/>
      <w:u w:val="single"/>
    </w:rPr>
  </w:style>
  <w:style w:type="character" w:customStyle="1" w:styleId="FooterChar">
    <w:name w:val="Footer Char"/>
    <w:rsid w:val="001A7756"/>
    <w:rPr>
      <w:sz w:val="28"/>
      <w:szCs w:val="28"/>
      <w:lang w:eastAsia="zh-CN"/>
    </w:rPr>
  </w:style>
  <w:style w:type="character" w:customStyle="1" w:styleId="Heading3Char">
    <w:name w:val="Heading 3 Char"/>
    <w:rsid w:val="001A7756"/>
    <w:rPr>
      <w:rFonts w:ascii="Calibri Light" w:eastAsia="Times New Roman" w:hAnsi="Calibri Light" w:cs="Times New Roman"/>
      <w:b/>
      <w:bCs/>
      <w:sz w:val="26"/>
      <w:szCs w:val="26"/>
      <w:lang w:eastAsia="zh-CN"/>
    </w:rPr>
  </w:style>
  <w:style w:type="character" w:customStyle="1" w:styleId="Bullets">
    <w:name w:val="Bullets"/>
    <w:rsid w:val="001A7756"/>
    <w:rPr>
      <w:rFonts w:ascii="OpenSymbol" w:eastAsia="OpenSymbol" w:hAnsi="OpenSymbol" w:cs="OpenSymbol"/>
    </w:rPr>
  </w:style>
  <w:style w:type="character" w:customStyle="1" w:styleId="ListLabel1">
    <w:name w:val="ListLabel 1"/>
    <w:rsid w:val="001A7756"/>
    <w:rPr>
      <w:sz w:val="20"/>
    </w:rPr>
  </w:style>
  <w:style w:type="character" w:customStyle="1" w:styleId="ListLabel2">
    <w:name w:val="ListLabel 2"/>
    <w:rsid w:val="001A7756"/>
    <w:rPr>
      <w:sz w:val="20"/>
    </w:rPr>
  </w:style>
  <w:style w:type="character" w:customStyle="1" w:styleId="ListLabel3">
    <w:name w:val="ListLabel 3"/>
    <w:rsid w:val="001A7756"/>
    <w:rPr>
      <w:sz w:val="20"/>
    </w:rPr>
  </w:style>
  <w:style w:type="character" w:customStyle="1" w:styleId="ListLabel4">
    <w:name w:val="ListLabel 4"/>
    <w:rsid w:val="001A7756"/>
    <w:rPr>
      <w:sz w:val="20"/>
    </w:rPr>
  </w:style>
  <w:style w:type="character" w:customStyle="1" w:styleId="ListLabel5">
    <w:name w:val="ListLabel 5"/>
    <w:rsid w:val="001A7756"/>
    <w:rPr>
      <w:sz w:val="20"/>
    </w:rPr>
  </w:style>
  <w:style w:type="character" w:customStyle="1" w:styleId="ListLabel6">
    <w:name w:val="ListLabel 6"/>
    <w:rsid w:val="001A7756"/>
    <w:rPr>
      <w:sz w:val="20"/>
    </w:rPr>
  </w:style>
  <w:style w:type="character" w:customStyle="1" w:styleId="ListLabel7">
    <w:name w:val="ListLabel 7"/>
    <w:rsid w:val="001A7756"/>
    <w:rPr>
      <w:sz w:val="20"/>
    </w:rPr>
  </w:style>
  <w:style w:type="character" w:customStyle="1" w:styleId="ListLabel8">
    <w:name w:val="ListLabel 8"/>
    <w:rsid w:val="001A7756"/>
    <w:rPr>
      <w:sz w:val="20"/>
    </w:rPr>
  </w:style>
  <w:style w:type="character" w:customStyle="1" w:styleId="ListLabel9">
    <w:name w:val="ListLabel 9"/>
    <w:rsid w:val="001A7756"/>
    <w:rPr>
      <w:sz w:val="20"/>
    </w:rPr>
  </w:style>
  <w:style w:type="character" w:customStyle="1" w:styleId="ListLabel10">
    <w:name w:val="ListLabel 10"/>
    <w:rsid w:val="001A7756"/>
    <w:rPr>
      <w:rFonts w:eastAsia="Times New Roman" w:cs="Times New Roman"/>
    </w:rPr>
  </w:style>
  <w:style w:type="character" w:customStyle="1" w:styleId="ListLabel11">
    <w:name w:val="ListLabel 11"/>
    <w:rsid w:val="001A7756"/>
    <w:rPr>
      <w:rFonts w:cs="Courier New"/>
    </w:rPr>
  </w:style>
  <w:style w:type="character" w:customStyle="1" w:styleId="ListLabel12">
    <w:name w:val="ListLabel 12"/>
    <w:rsid w:val="001A7756"/>
    <w:rPr>
      <w:rFonts w:cs="Courier New"/>
    </w:rPr>
  </w:style>
  <w:style w:type="character" w:customStyle="1" w:styleId="ListLabel13">
    <w:name w:val="ListLabel 13"/>
    <w:rsid w:val="001A7756"/>
    <w:rPr>
      <w:rFonts w:cs="Courier New"/>
    </w:rPr>
  </w:style>
  <w:style w:type="character" w:customStyle="1" w:styleId="ListLabel14">
    <w:name w:val="ListLabel 14"/>
    <w:rsid w:val="001A7756"/>
    <w:rPr>
      <w:rFonts w:cs="OpenSymbol"/>
    </w:rPr>
  </w:style>
  <w:style w:type="character" w:customStyle="1" w:styleId="ListLabel15">
    <w:name w:val="ListLabel 15"/>
    <w:rsid w:val="001A7756"/>
    <w:rPr>
      <w:rFonts w:cs="OpenSymbol"/>
    </w:rPr>
  </w:style>
  <w:style w:type="character" w:customStyle="1" w:styleId="ListLabel16">
    <w:name w:val="ListLabel 16"/>
    <w:rsid w:val="001A7756"/>
    <w:rPr>
      <w:rFonts w:cs="OpenSymbol"/>
    </w:rPr>
  </w:style>
  <w:style w:type="character" w:customStyle="1" w:styleId="ListLabel17">
    <w:name w:val="ListLabel 17"/>
    <w:rsid w:val="001A7756"/>
    <w:rPr>
      <w:rFonts w:cs="OpenSymbol"/>
    </w:rPr>
  </w:style>
  <w:style w:type="character" w:customStyle="1" w:styleId="ListLabel18">
    <w:name w:val="ListLabel 18"/>
    <w:rsid w:val="001A7756"/>
    <w:rPr>
      <w:rFonts w:cs="OpenSymbol"/>
    </w:rPr>
  </w:style>
  <w:style w:type="character" w:customStyle="1" w:styleId="ListLabel19">
    <w:name w:val="ListLabel 19"/>
    <w:rsid w:val="001A7756"/>
    <w:rPr>
      <w:rFonts w:cs="OpenSymbol"/>
    </w:rPr>
  </w:style>
  <w:style w:type="character" w:customStyle="1" w:styleId="ListLabel20">
    <w:name w:val="ListLabel 20"/>
    <w:rsid w:val="001A7756"/>
    <w:rPr>
      <w:rFonts w:cs="OpenSymbol"/>
    </w:rPr>
  </w:style>
  <w:style w:type="character" w:customStyle="1" w:styleId="ListLabel21">
    <w:name w:val="ListLabel 21"/>
    <w:rsid w:val="001A7756"/>
    <w:rPr>
      <w:rFonts w:cs="OpenSymbol"/>
    </w:rPr>
  </w:style>
  <w:style w:type="character" w:customStyle="1" w:styleId="ListLabel22">
    <w:name w:val="ListLabel 22"/>
    <w:rsid w:val="001A7756"/>
    <w:rPr>
      <w:rFonts w:cs="OpenSymbol"/>
    </w:rPr>
  </w:style>
  <w:style w:type="character" w:customStyle="1" w:styleId="ListLabel23">
    <w:name w:val="ListLabel 23"/>
    <w:rsid w:val="001A7756"/>
    <w:rPr>
      <w:rFonts w:cs="Courier New"/>
    </w:rPr>
  </w:style>
  <w:style w:type="character" w:customStyle="1" w:styleId="ListLabel24">
    <w:name w:val="ListLabel 24"/>
    <w:rsid w:val="001A7756"/>
    <w:rPr>
      <w:rFonts w:cs="Courier New"/>
    </w:rPr>
  </w:style>
  <w:style w:type="character" w:customStyle="1" w:styleId="ListLabel25">
    <w:name w:val="ListLabel 25"/>
    <w:rsid w:val="001A7756"/>
    <w:rPr>
      <w:rFonts w:cs="Courier New"/>
    </w:rPr>
  </w:style>
  <w:style w:type="character" w:customStyle="1" w:styleId="ListLabel26">
    <w:name w:val="ListLabel 26"/>
    <w:rsid w:val="001A7756"/>
    <w:rPr>
      <w:color w:val="00000A"/>
    </w:rPr>
  </w:style>
  <w:style w:type="character" w:customStyle="1" w:styleId="ListLabel27">
    <w:name w:val="ListLabel 27"/>
    <w:rsid w:val="001A7756"/>
    <w:rPr>
      <w:b w:val="0"/>
    </w:rPr>
  </w:style>
  <w:style w:type="character" w:customStyle="1" w:styleId="ListLabel28">
    <w:name w:val="ListLabel 28"/>
    <w:rsid w:val="001A7756"/>
    <w:rPr>
      <w:b w:val="0"/>
    </w:rPr>
  </w:style>
  <w:style w:type="character" w:customStyle="1" w:styleId="ListLabel29">
    <w:name w:val="ListLabel 29"/>
    <w:rsid w:val="001A7756"/>
    <w:rPr>
      <w:b w:val="0"/>
    </w:rPr>
  </w:style>
  <w:style w:type="character" w:customStyle="1" w:styleId="ListLabel30">
    <w:name w:val="ListLabel 30"/>
    <w:rsid w:val="001A7756"/>
    <w:rPr>
      <w:b w:val="0"/>
    </w:rPr>
  </w:style>
  <w:style w:type="character" w:customStyle="1" w:styleId="ListLabel31">
    <w:name w:val="ListLabel 31"/>
    <w:rsid w:val="001A7756"/>
    <w:rPr>
      <w:b w:val="0"/>
    </w:rPr>
  </w:style>
  <w:style w:type="character" w:customStyle="1" w:styleId="ListLabel32">
    <w:name w:val="ListLabel 32"/>
    <w:rsid w:val="001A7756"/>
    <w:rPr>
      <w:b w:val="0"/>
    </w:rPr>
  </w:style>
  <w:style w:type="character" w:customStyle="1" w:styleId="ListLabel33">
    <w:name w:val="ListLabel 33"/>
    <w:rsid w:val="001A7756"/>
    <w:rPr>
      <w:b w:val="0"/>
    </w:rPr>
  </w:style>
  <w:style w:type="character" w:customStyle="1" w:styleId="ListLabel34">
    <w:name w:val="ListLabel 34"/>
    <w:rsid w:val="001A7756"/>
    <w:rPr>
      <w:b w:val="0"/>
    </w:rPr>
  </w:style>
  <w:style w:type="character" w:customStyle="1" w:styleId="ListLabel35">
    <w:name w:val="ListLabel 35"/>
    <w:rsid w:val="001A7756"/>
    <w:rPr>
      <w:b w:val="0"/>
    </w:rPr>
  </w:style>
  <w:style w:type="character" w:customStyle="1" w:styleId="ListLabel36">
    <w:name w:val="ListLabel 36"/>
    <w:rsid w:val="001A7756"/>
    <w:rPr>
      <w:b w:val="0"/>
    </w:rPr>
  </w:style>
  <w:style w:type="character" w:customStyle="1" w:styleId="ListLabel37">
    <w:name w:val="ListLabel 37"/>
    <w:rsid w:val="001A7756"/>
    <w:rPr>
      <w:b w:val="0"/>
    </w:rPr>
  </w:style>
  <w:style w:type="character" w:customStyle="1" w:styleId="ListLabel38">
    <w:name w:val="ListLabel 38"/>
    <w:rsid w:val="001A7756"/>
    <w:rPr>
      <w:b w:val="0"/>
    </w:rPr>
  </w:style>
  <w:style w:type="character" w:customStyle="1" w:styleId="ListLabel39">
    <w:name w:val="ListLabel 39"/>
    <w:rsid w:val="001A7756"/>
    <w:rPr>
      <w:b w:val="0"/>
    </w:rPr>
  </w:style>
  <w:style w:type="character" w:customStyle="1" w:styleId="ListLabel40">
    <w:name w:val="ListLabel 40"/>
    <w:rsid w:val="001A7756"/>
    <w:rPr>
      <w:b w:val="0"/>
    </w:rPr>
  </w:style>
  <w:style w:type="character" w:customStyle="1" w:styleId="ListLabel41">
    <w:name w:val="ListLabel 41"/>
    <w:rsid w:val="001A7756"/>
    <w:rPr>
      <w:b w:val="0"/>
    </w:rPr>
  </w:style>
  <w:style w:type="character" w:customStyle="1" w:styleId="ListLabel42">
    <w:name w:val="ListLabel 42"/>
    <w:rsid w:val="001A7756"/>
    <w:rPr>
      <w:b w:val="0"/>
    </w:rPr>
  </w:style>
  <w:style w:type="character" w:customStyle="1" w:styleId="ListLabel43">
    <w:name w:val="ListLabel 43"/>
    <w:rsid w:val="001A7756"/>
    <w:rPr>
      <w:b w:val="0"/>
    </w:rPr>
  </w:style>
  <w:style w:type="character" w:customStyle="1" w:styleId="ListLabel44">
    <w:name w:val="ListLabel 44"/>
    <w:rsid w:val="001A7756"/>
    <w:rPr>
      <w:b w:val="0"/>
    </w:rPr>
  </w:style>
  <w:style w:type="character" w:customStyle="1" w:styleId="ListLabel45">
    <w:name w:val="ListLabel 45"/>
    <w:rsid w:val="001A7756"/>
    <w:rPr>
      <w:b w:val="0"/>
    </w:rPr>
  </w:style>
  <w:style w:type="character" w:customStyle="1" w:styleId="ListLabel46">
    <w:name w:val="ListLabel 46"/>
    <w:rsid w:val="001A7756"/>
    <w:rPr>
      <w:b w:val="0"/>
    </w:rPr>
  </w:style>
  <w:style w:type="character" w:customStyle="1" w:styleId="ListLabel47">
    <w:name w:val="ListLabel 47"/>
    <w:rsid w:val="001A7756"/>
    <w:rPr>
      <w:b w:val="0"/>
    </w:rPr>
  </w:style>
  <w:style w:type="character" w:customStyle="1" w:styleId="ListLabel48">
    <w:name w:val="ListLabel 48"/>
    <w:rsid w:val="001A7756"/>
    <w:rPr>
      <w:b w:val="0"/>
    </w:rPr>
  </w:style>
  <w:style w:type="character" w:customStyle="1" w:styleId="ListLabel49">
    <w:name w:val="ListLabel 49"/>
    <w:rsid w:val="001A7756"/>
    <w:rPr>
      <w:b w:val="0"/>
    </w:rPr>
  </w:style>
  <w:style w:type="character" w:customStyle="1" w:styleId="ListLabel50">
    <w:name w:val="ListLabel 50"/>
    <w:rsid w:val="001A7756"/>
    <w:rPr>
      <w:b w:val="0"/>
    </w:rPr>
  </w:style>
  <w:style w:type="character" w:customStyle="1" w:styleId="ListLabel51">
    <w:name w:val="ListLabel 51"/>
    <w:rsid w:val="001A7756"/>
    <w:rPr>
      <w:b w:val="0"/>
    </w:rPr>
  </w:style>
  <w:style w:type="character" w:customStyle="1" w:styleId="ListLabel52">
    <w:name w:val="ListLabel 52"/>
    <w:rsid w:val="001A7756"/>
    <w:rPr>
      <w:b w:val="0"/>
    </w:rPr>
  </w:style>
  <w:style w:type="character" w:customStyle="1" w:styleId="ListLabel53">
    <w:name w:val="ListLabel 53"/>
    <w:rsid w:val="001A7756"/>
    <w:rPr>
      <w:rFonts w:cs="Times New Roman"/>
      <w:b/>
      <w:i w:val="0"/>
      <w:color w:val="00000A"/>
      <w:sz w:val="24"/>
      <w:szCs w:val="24"/>
      <w:lang w:eastAsia="ro-RO"/>
    </w:rPr>
  </w:style>
  <w:style w:type="character" w:customStyle="1" w:styleId="ListLabel54">
    <w:name w:val="ListLabel 54"/>
    <w:rsid w:val="001A7756"/>
    <w:rPr>
      <w:b/>
    </w:rPr>
  </w:style>
  <w:style w:type="character" w:customStyle="1" w:styleId="ListLabel55">
    <w:name w:val="ListLabel 55"/>
    <w:rsid w:val="001A7756"/>
    <w:rPr>
      <w:rFonts w:cs="OpenSymbol"/>
    </w:rPr>
  </w:style>
  <w:style w:type="character" w:customStyle="1" w:styleId="ListLabel56">
    <w:name w:val="ListLabel 56"/>
    <w:rsid w:val="001A7756"/>
    <w:rPr>
      <w:rFonts w:cs="OpenSymbol"/>
    </w:rPr>
  </w:style>
  <w:style w:type="character" w:customStyle="1" w:styleId="ListLabel57">
    <w:name w:val="ListLabel 57"/>
    <w:rsid w:val="001A7756"/>
    <w:rPr>
      <w:rFonts w:cs="OpenSymbol"/>
    </w:rPr>
  </w:style>
  <w:style w:type="character" w:customStyle="1" w:styleId="ListLabel58">
    <w:name w:val="ListLabel 58"/>
    <w:rsid w:val="001A7756"/>
    <w:rPr>
      <w:rFonts w:cs="OpenSymbol"/>
    </w:rPr>
  </w:style>
  <w:style w:type="character" w:customStyle="1" w:styleId="ListLabel59">
    <w:name w:val="ListLabel 59"/>
    <w:rsid w:val="001A7756"/>
    <w:rPr>
      <w:rFonts w:cs="OpenSymbol"/>
    </w:rPr>
  </w:style>
  <w:style w:type="character" w:customStyle="1" w:styleId="ListLabel60">
    <w:name w:val="ListLabel 60"/>
    <w:rsid w:val="001A7756"/>
    <w:rPr>
      <w:rFonts w:cs="OpenSymbol"/>
    </w:rPr>
  </w:style>
  <w:style w:type="character" w:customStyle="1" w:styleId="ListLabel61">
    <w:name w:val="ListLabel 61"/>
    <w:rsid w:val="001A7756"/>
    <w:rPr>
      <w:rFonts w:cs="OpenSymbol"/>
    </w:rPr>
  </w:style>
  <w:style w:type="character" w:customStyle="1" w:styleId="ListLabel62">
    <w:name w:val="ListLabel 62"/>
    <w:rsid w:val="001A7756"/>
    <w:rPr>
      <w:rFonts w:cs="OpenSymbol"/>
    </w:rPr>
  </w:style>
  <w:style w:type="character" w:customStyle="1" w:styleId="ListLabel63">
    <w:name w:val="ListLabel 63"/>
    <w:rsid w:val="001A7756"/>
    <w:rPr>
      <w:rFonts w:eastAsia="Times New Roman" w:cs="Times New Roman"/>
    </w:rPr>
  </w:style>
  <w:style w:type="character" w:customStyle="1" w:styleId="ListLabel64">
    <w:name w:val="ListLabel 64"/>
    <w:rsid w:val="001A7756"/>
    <w:rPr>
      <w:rFonts w:cs="Courier New"/>
    </w:rPr>
  </w:style>
  <w:style w:type="character" w:customStyle="1" w:styleId="ListLabel65">
    <w:name w:val="ListLabel 65"/>
    <w:rsid w:val="001A7756"/>
    <w:rPr>
      <w:rFonts w:cs="Courier New"/>
    </w:rPr>
  </w:style>
  <w:style w:type="character" w:customStyle="1" w:styleId="ListLabel66">
    <w:name w:val="ListLabel 66"/>
    <w:rsid w:val="001A7756"/>
    <w:rPr>
      <w:rFonts w:cs="Courier New"/>
    </w:rPr>
  </w:style>
  <w:style w:type="character" w:customStyle="1" w:styleId="ListLabel67">
    <w:name w:val="ListLabel 67"/>
    <w:rsid w:val="001A7756"/>
    <w:rPr>
      <w:rFonts w:eastAsia="Times New Roman" w:cs="Times New Roman"/>
    </w:rPr>
  </w:style>
  <w:style w:type="character" w:customStyle="1" w:styleId="ListLabel68">
    <w:name w:val="ListLabel 68"/>
    <w:rsid w:val="001A7756"/>
    <w:rPr>
      <w:rFonts w:cs="Courier New"/>
    </w:rPr>
  </w:style>
  <w:style w:type="character" w:customStyle="1" w:styleId="ListLabel69">
    <w:name w:val="ListLabel 69"/>
    <w:rsid w:val="001A7756"/>
    <w:rPr>
      <w:rFonts w:cs="Courier New"/>
    </w:rPr>
  </w:style>
  <w:style w:type="character" w:customStyle="1" w:styleId="ListLabel70">
    <w:name w:val="ListLabel 70"/>
    <w:rsid w:val="001A7756"/>
    <w:rPr>
      <w:rFonts w:cs="Courier New"/>
    </w:rPr>
  </w:style>
  <w:style w:type="character" w:customStyle="1" w:styleId="ListLabel71">
    <w:name w:val="ListLabel 71"/>
    <w:rsid w:val="001A7756"/>
    <w:rPr>
      <w:rFonts w:eastAsia="Calibri" w:cs="Arial"/>
    </w:rPr>
  </w:style>
  <w:style w:type="character" w:customStyle="1" w:styleId="ListLabel72">
    <w:name w:val="ListLabel 72"/>
    <w:rsid w:val="001A7756"/>
    <w:rPr>
      <w:rFonts w:cs="Courier New"/>
    </w:rPr>
  </w:style>
  <w:style w:type="character" w:customStyle="1" w:styleId="ListLabel73">
    <w:name w:val="ListLabel 73"/>
    <w:rsid w:val="001A7756"/>
    <w:rPr>
      <w:rFonts w:cs="Courier New"/>
    </w:rPr>
  </w:style>
  <w:style w:type="character" w:customStyle="1" w:styleId="ListLabel74">
    <w:name w:val="ListLabel 74"/>
    <w:rsid w:val="001A7756"/>
    <w:rPr>
      <w:rFonts w:cs="Courier New"/>
    </w:rPr>
  </w:style>
  <w:style w:type="character" w:customStyle="1" w:styleId="ListLabel75">
    <w:name w:val="ListLabel 75"/>
    <w:rsid w:val="001A7756"/>
    <w:rPr>
      <w:rFonts w:cs="Courier New"/>
    </w:rPr>
  </w:style>
  <w:style w:type="character" w:customStyle="1" w:styleId="ListLabel76">
    <w:name w:val="ListLabel 76"/>
    <w:rsid w:val="001A7756"/>
    <w:rPr>
      <w:rFonts w:cs="Courier New"/>
    </w:rPr>
  </w:style>
  <w:style w:type="character" w:customStyle="1" w:styleId="ListLabel77">
    <w:name w:val="ListLabel 77"/>
    <w:rsid w:val="001A7756"/>
    <w:rPr>
      <w:rFonts w:cs="Courier New"/>
    </w:rPr>
  </w:style>
  <w:style w:type="paragraph" w:customStyle="1" w:styleId="Heading">
    <w:name w:val="Heading"/>
    <w:basedOn w:val="Normal"/>
    <w:next w:val="BodyText"/>
    <w:rsid w:val="001A7756"/>
    <w:pPr>
      <w:keepNext/>
      <w:spacing w:before="240" w:after="120"/>
    </w:pPr>
    <w:rPr>
      <w:rFonts w:ascii="Liberation Sans" w:eastAsia="Microsoft YaHei" w:hAnsi="Liberation Sans" w:cs="Mangal"/>
    </w:rPr>
  </w:style>
  <w:style w:type="paragraph" w:styleId="BodyText">
    <w:name w:val="Body Text"/>
    <w:basedOn w:val="Normal"/>
    <w:rsid w:val="001A7756"/>
    <w:pPr>
      <w:widowControl w:val="0"/>
      <w:spacing w:after="120"/>
    </w:pPr>
    <w:rPr>
      <w:sz w:val="24"/>
      <w:szCs w:val="24"/>
    </w:rPr>
  </w:style>
  <w:style w:type="paragraph" w:styleId="List">
    <w:name w:val="List"/>
    <w:basedOn w:val="BodyText"/>
    <w:rsid w:val="001A7756"/>
    <w:rPr>
      <w:rFonts w:cs="Mangal"/>
    </w:rPr>
  </w:style>
  <w:style w:type="paragraph" w:styleId="Caption">
    <w:name w:val="caption"/>
    <w:basedOn w:val="Normal"/>
    <w:qFormat/>
    <w:rsid w:val="001A7756"/>
    <w:pPr>
      <w:suppressLineNumbers/>
      <w:spacing w:before="120" w:after="120"/>
    </w:pPr>
    <w:rPr>
      <w:rFonts w:cs="Mangal"/>
      <w:i/>
      <w:iCs/>
      <w:sz w:val="24"/>
      <w:szCs w:val="24"/>
    </w:rPr>
  </w:style>
  <w:style w:type="paragraph" w:customStyle="1" w:styleId="Index">
    <w:name w:val="Index"/>
    <w:basedOn w:val="Normal"/>
    <w:rsid w:val="001A7756"/>
    <w:pPr>
      <w:suppressLineNumbers/>
    </w:pPr>
    <w:rPr>
      <w:rFonts w:cs="Mangal"/>
    </w:rPr>
  </w:style>
  <w:style w:type="paragraph" w:customStyle="1" w:styleId="Caption1">
    <w:name w:val="Caption1"/>
    <w:basedOn w:val="Normal"/>
    <w:rsid w:val="001A7756"/>
    <w:pPr>
      <w:suppressLineNumbers/>
      <w:spacing w:before="120" w:after="120"/>
    </w:pPr>
    <w:rPr>
      <w:rFonts w:cs="Mangal"/>
      <w:i/>
      <w:iCs/>
      <w:sz w:val="24"/>
      <w:szCs w:val="24"/>
    </w:rPr>
  </w:style>
  <w:style w:type="paragraph" w:customStyle="1" w:styleId="StyleHeading1TimesNewRoman14ptCentered">
    <w:name w:val="Style Heading 1 + Times New Roman 14 pt Centered"/>
    <w:basedOn w:val="Heading1"/>
    <w:rsid w:val="001A7756"/>
    <w:pPr>
      <w:numPr>
        <w:numId w:val="0"/>
      </w:numPr>
      <w:spacing w:before="0" w:after="0" w:line="360" w:lineRule="auto"/>
      <w:jc w:val="center"/>
    </w:pPr>
    <w:rPr>
      <w:rFonts w:ascii="Times New Roman" w:hAnsi="Times New Roman" w:cs="Times New Roman"/>
      <w:sz w:val="24"/>
      <w:szCs w:val="20"/>
      <w:lang w:val="en-US"/>
    </w:rPr>
  </w:style>
  <w:style w:type="paragraph" w:styleId="Header">
    <w:name w:val="header"/>
    <w:basedOn w:val="Normal"/>
    <w:rsid w:val="001A7756"/>
    <w:pPr>
      <w:tabs>
        <w:tab w:val="center" w:pos="4536"/>
        <w:tab w:val="right" w:pos="9072"/>
      </w:tabs>
    </w:pPr>
  </w:style>
  <w:style w:type="paragraph" w:styleId="Footer">
    <w:name w:val="footer"/>
    <w:basedOn w:val="Normal"/>
    <w:rsid w:val="001A7756"/>
    <w:pPr>
      <w:tabs>
        <w:tab w:val="center" w:pos="4536"/>
        <w:tab w:val="right" w:pos="9072"/>
      </w:tabs>
    </w:pPr>
  </w:style>
  <w:style w:type="paragraph" w:styleId="BalloonText">
    <w:name w:val="Balloon Text"/>
    <w:basedOn w:val="Normal"/>
    <w:rsid w:val="001A7756"/>
    <w:rPr>
      <w:rFonts w:ascii="Tahoma" w:hAnsi="Tahoma" w:cs="Tahoma"/>
      <w:sz w:val="16"/>
      <w:szCs w:val="16"/>
    </w:rPr>
  </w:style>
  <w:style w:type="paragraph" w:customStyle="1" w:styleId="CaracterCaracter">
    <w:name w:val="Caracter Caracter"/>
    <w:basedOn w:val="Normal"/>
    <w:rsid w:val="001A7756"/>
    <w:pPr>
      <w:tabs>
        <w:tab w:val="left" w:pos="709"/>
      </w:tabs>
    </w:pPr>
    <w:rPr>
      <w:rFonts w:ascii="Tahoma" w:hAnsi="Tahoma" w:cs="Tahoma"/>
      <w:sz w:val="24"/>
      <w:szCs w:val="24"/>
      <w:lang w:val="pl-PL"/>
    </w:rPr>
  </w:style>
  <w:style w:type="paragraph" w:customStyle="1" w:styleId="CaracterCharCharCaracter">
    <w:name w:val="Caracter Char Char Caracter"/>
    <w:basedOn w:val="Normal"/>
    <w:rsid w:val="001A7756"/>
    <w:rPr>
      <w:sz w:val="24"/>
      <w:szCs w:val="24"/>
      <w:lang w:val="pl-PL"/>
    </w:rPr>
  </w:style>
  <w:style w:type="paragraph" w:customStyle="1" w:styleId="Caracter">
    <w:name w:val="Caracter"/>
    <w:basedOn w:val="Normal"/>
    <w:rsid w:val="001A7756"/>
    <w:rPr>
      <w:sz w:val="24"/>
      <w:szCs w:val="24"/>
      <w:lang w:val="pl-PL"/>
    </w:rPr>
  </w:style>
  <w:style w:type="paragraph" w:customStyle="1" w:styleId="TableText">
    <w:name w:val="Table Text"/>
    <w:basedOn w:val="Normal"/>
    <w:rsid w:val="001A7756"/>
    <w:pPr>
      <w:widowControl w:val="0"/>
      <w:jc w:val="right"/>
    </w:pPr>
    <w:rPr>
      <w:sz w:val="24"/>
      <w:szCs w:val="24"/>
      <w:lang w:val="en-US"/>
    </w:rPr>
  </w:style>
  <w:style w:type="paragraph" w:customStyle="1" w:styleId="DefaultText">
    <w:name w:val="Default Text"/>
    <w:basedOn w:val="Normal"/>
    <w:rsid w:val="001A7756"/>
    <w:rPr>
      <w:sz w:val="24"/>
      <w:szCs w:val="24"/>
      <w:lang w:val="en-US"/>
    </w:rPr>
  </w:style>
  <w:style w:type="paragraph" w:styleId="NormalWeb">
    <w:name w:val="Normal (Web)"/>
    <w:basedOn w:val="Normal"/>
    <w:rsid w:val="001A7756"/>
    <w:pPr>
      <w:spacing w:before="100" w:after="100"/>
    </w:pPr>
    <w:rPr>
      <w:color w:val="000000"/>
      <w:sz w:val="24"/>
      <w:szCs w:val="24"/>
      <w:lang w:val="en-US"/>
    </w:rPr>
  </w:style>
  <w:style w:type="paragraph" w:customStyle="1" w:styleId="CharChar">
    <w:name w:val="Char Char"/>
    <w:basedOn w:val="Normal"/>
    <w:rsid w:val="001A7756"/>
    <w:pPr>
      <w:tabs>
        <w:tab w:val="left" w:pos="709"/>
      </w:tabs>
    </w:pPr>
    <w:rPr>
      <w:rFonts w:ascii="Tahoma" w:hAnsi="Tahoma" w:cs="Tahoma"/>
      <w:sz w:val="24"/>
      <w:szCs w:val="24"/>
      <w:lang w:val="pl-PL"/>
    </w:rPr>
  </w:style>
  <w:style w:type="paragraph" w:styleId="BodyText3">
    <w:name w:val="Body Text 3"/>
    <w:basedOn w:val="Normal"/>
    <w:rsid w:val="001A7756"/>
    <w:pPr>
      <w:widowControl w:val="0"/>
      <w:spacing w:after="120"/>
    </w:pPr>
    <w:rPr>
      <w:sz w:val="16"/>
      <w:szCs w:val="16"/>
      <w:lang w:val="en-US"/>
    </w:rPr>
  </w:style>
  <w:style w:type="paragraph" w:customStyle="1" w:styleId="CaracterCaracter2CharChar1Char">
    <w:name w:val="Caracter Caracter2 Char Char1 Char"/>
    <w:basedOn w:val="Normal"/>
    <w:rsid w:val="001A7756"/>
    <w:pPr>
      <w:tabs>
        <w:tab w:val="left" w:pos="709"/>
      </w:tabs>
    </w:pPr>
    <w:rPr>
      <w:rFonts w:ascii="Tahoma" w:hAnsi="Tahoma" w:cs="Tahoma"/>
      <w:sz w:val="24"/>
      <w:szCs w:val="24"/>
      <w:lang w:val="pl-PL"/>
    </w:rPr>
  </w:style>
  <w:style w:type="paragraph" w:customStyle="1" w:styleId="CaracterCaracter1CharCharCaracterCaracter">
    <w:name w:val="Caracter Caracter1 Char Char Caracter Caracter"/>
    <w:basedOn w:val="Normal"/>
    <w:rsid w:val="001A7756"/>
    <w:rPr>
      <w:sz w:val="24"/>
      <w:szCs w:val="24"/>
      <w:lang w:val="pl-PL"/>
    </w:rPr>
  </w:style>
  <w:style w:type="paragraph" w:customStyle="1" w:styleId="CaracterCaracterCharCharCarCharCharChar">
    <w:name w:val="Caracter Caracter Char Char Car Char Char Char"/>
    <w:basedOn w:val="Normal"/>
    <w:rsid w:val="001A7756"/>
    <w:pPr>
      <w:tabs>
        <w:tab w:val="left" w:pos="709"/>
      </w:tabs>
    </w:pPr>
    <w:rPr>
      <w:rFonts w:ascii="Tahoma" w:hAnsi="Tahoma" w:cs="Tahoma"/>
      <w:sz w:val="24"/>
      <w:szCs w:val="24"/>
      <w:lang w:val="pl-PL"/>
    </w:rPr>
  </w:style>
  <w:style w:type="paragraph" w:customStyle="1" w:styleId="CharChar1">
    <w:name w:val="Char Char1"/>
    <w:basedOn w:val="Normal"/>
    <w:rsid w:val="001A7756"/>
    <w:rPr>
      <w:sz w:val="24"/>
      <w:szCs w:val="24"/>
      <w:lang w:val="pl-PL"/>
    </w:rPr>
  </w:style>
  <w:style w:type="paragraph" w:customStyle="1" w:styleId="CharCharCharChar">
    <w:name w:val="Char Char Char Char"/>
    <w:basedOn w:val="Normal"/>
    <w:rsid w:val="001A7756"/>
    <w:rPr>
      <w:sz w:val="24"/>
      <w:szCs w:val="24"/>
      <w:lang w:val="pl-PL"/>
    </w:rPr>
  </w:style>
  <w:style w:type="paragraph" w:customStyle="1" w:styleId="Default">
    <w:name w:val="Default"/>
    <w:rsid w:val="001A7756"/>
    <w:pPr>
      <w:suppressAutoHyphens/>
    </w:pPr>
    <w:rPr>
      <w:color w:val="000000"/>
      <w:sz w:val="24"/>
      <w:szCs w:val="24"/>
      <w:lang w:val="en-US" w:eastAsia="zh-CN"/>
    </w:rPr>
  </w:style>
  <w:style w:type="paragraph" w:customStyle="1" w:styleId="ParagraphNumbering">
    <w:name w:val="Paragraph Numbering"/>
    <w:basedOn w:val="Normal"/>
    <w:rsid w:val="001A7756"/>
    <w:pPr>
      <w:tabs>
        <w:tab w:val="left" w:pos="720"/>
      </w:tabs>
      <w:spacing w:after="240" w:line="264" w:lineRule="auto"/>
    </w:pPr>
    <w:rPr>
      <w:rFonts w:eastAsia="SimSun"/>
      <w:sz w:val="24"/>
      <w:szCs w:val="24"/>
      <w:lang w:val="en-US"/>
    </w:rPr>
  </w:style>
  <w:style w:type="paragraph" w:customStyle="1" w:styleId="FootnoteText1">
    <w:name w:val="Footnote Text1"/>
    <w:basedOn w:val="Normal"/>
    <w:rsid w:val="001A7756"/>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rsid w:val="001A7756"/>
    <w:pPr>
      <w:tabs>
        <w:tab w:val="left" w:pos="709"/>
      </w:tabs>
    </w:pPr>
    <w:rPr>
      <w:rFonts w:ascii="Tahoma" w:hAnsi="Tahoma" w:cs="Tahoma"/>
      <w:sz w:val="24"/>
      <w:szCs w:val="24"/>
      <w:lang w:val="pl-PL"/>
    </w:rPr>
  </w:style>
  <w:style w:type="paragraph" w:customStyle="1" w:styleId="CaracterCaracter1">
    <w:name w:val="Caracter Caracter1"/>
    <w:basedOn w:val="Normal"/>
    <w:rsid w:val="001A7756"/>
    <w:rPr>
      <w:sz w:val="24"/>
      <w:szCs w:val="24"/>
      <w:lang w:val="pl-PL"/>
    </w:rPr>
  </w:style>
  <w:style w:type="paragraph" w:customStyle="1" w:styleId="CommentText1">
    <w:name w:val="Comment Text1"/>
    <w:basedOn w:val="Normal"/>
    <w:rsid w:val="001A7756"/>
    <w:rPr>
      <w:sz w:val="20"/>
      <w:szCs w:val="20"/>
    </w:rPr>
  </w:style>
  <w:style w:type="paragraph" w:customStyle="1" w:styleId="Char">
    <w:name w:val="Char"/>
    <w:basedOn w:val="Normal"/>
    <w:rsid w:val="001A7756"/>
    <w:rPr>
      <w:sz w:val="24"/>
      <w:szCs w:val="24"/>
      <w:lang w:val="pl-PL"/>
    </w:rPr>
  </w:style>
  <w:style w:type="paragraph" w:customStyle="1" w:styleId="CharChar1CharCharCharChar">
    <w:name w:val="Char Char1 Char Char Char Char"/>
    <w:basedOn w:val="Normal"/>
    <w:rsid w:val="001A7756"/>
    <w:rPr>
      <w:sz w:val="24"/>
      <w:szCs w:val="24"/>
      <w:lang w:val="pl-PL"/>
    </w:rPr>
  </w:style>
  <w:style w:type="paragraph" w:styleId="BodyTextIndent3">
    <w:name w:val="Body Text Indent 3"/>
    <w:basedOn w:val="Normal"/>
    <w:rsid w:val="001A7756"/>
    <w:pPr>
      <w:spacing w:after="120"/>
      <w:ind w:left="283"/>
    </w:pPr>
    <w:rPr>
      <w:sz w:val="16"/>
      <w:szCs w:val="16"/>
    </w:rPr>
  </w:style>
  <w:style w:type="paragraph" w:styleId="ListParagraph">
    <w:name w:val="List Paragraph"/>
    <w:basedOn w:val="Normal"/>
    <w:qFormat/>
    <w:rsid w:val="001A7756"/>
    <w:pPr>
      <w:ind w:left="720"/>
    </w:pPr>
    <w:rPr>
      <w:sz w:val="24"/>
      <w:szCs w:val="24"/>
      <w:lang w:val="en-GB"/>
    </w:rPr>
  </w:style>
  <w:style w:type="paragraph" w:customStyle="1" w:styleId="DefaultText1">
    <w:name w:val="Default Text:1"/>
    <w:basedOn w:val="Normal"/>
    <w:rsid w:val="001A7756"/>
    <w:pPr>
      <w:textAlignment w:val="baseline"/>
    </w:pPr>
    <w:rPr>
      <w:sz w:val="24"/>
      <w:szCs w:val="20"/>
      <w:lang w:val="en-US"/>
    </w:rPr>
  </w:style>
  <w:style w:type="paragraph" w:customStyle="1" w:styleId="CM1">
    <w:name w:val="CM1"/>
    <w:basedOn w:val="Default"/>
    <w:next w:val="Default"/>
    <w:rsid w:val="001A7756"/>
    <w:rPr>
      <w:rFonts w:ascii="EUAlbertina" w:hAnsi="EUAlbertina" w:cs="EUAlbertina"/>
      <w:color w:val="00000A"/>
    </w:rPr>
  </w:style>
  <w:style w:type="paragraph" w:customStyle="1" w:styleId="CM3">
    <w:name w:val="CM3"/>
    <w:basedOn w:val="Default"/>
    <w:next w:val="Default"/>
    <w:rsid w:val="001A7756"/>
    <w:rPr>
      <w:rFonts w:ascii="EUAlbertina" w:hAnsi="EUAlbertina" w:cs="EUAlbertina"/>
      <w:color w:val="00000A"/>
    </w:rPr>
  </w:style>
  <w:style w:type="paragraph" w:customStyle="1" w:styleId="CM4">
    <w:name w:val="CM4"/>
    <w:basedOn w:val="Default"/>
    <w:next w:val="Default"/>
    <w:rsid w:val="001A7756"/>
    <w:rPr>
      <w:rFonts w:ascii="EUAlbertina" w:hAnsi="EUAlbertina" w:cs="EUAlbertina"/>
      <w:color w:val="00000A"/>
    </w:rPr>
  </w:style>
  <w:style w:type="paragraph" w:customStyle="1" w:styleId="CommentSubject1">
    <w:name w:val="Comment Subject1"/>
    <w:basedOn w:val="CommentText1"/>
    <w:rsid w:val="001A7756"/>
    <w:rPr>
      <w:b/>
      <w:bCs/>
    </w:rPr>
  </w:style>
  <w:style w:type="paragraph" w:customStyle="1" w:styleId="TableContents">
    <w:name w:val="Table Contents"/>
    <w:basedOn w:val="Normal"/>
    <w:rsid w:val="001A7756"/>
    <w:pPr>
      <w:suppressLineNumbers/>
    </w:pPr>
  </w:style>
  <w:style w:type="paragraph" w:customStyle="1" w:styleId="TableHeading">
    <w:name w:val="Table Heading"/>
    <w:basedOn w:val="TableContents"/>
    <w:rsid w:val="001A7756"/>
    <w:pPr>
      <w:jc w:val="center"/>
    </w:pPr>
    <w:rPr>
      <w:b/>
      <w:bCs/>
    </w:rPr>
  </w:style>
  <w:style w:type="paragraph" w:customStyle="1" w:styleId="Corptext">
    <w:name w:val="Corp text"/>
    <w:basedOn w:val="Normal"/>
    <w:rsid w:val="001A7756"/>
    <w:pPr>
      <w:spacing w:line="288" w:lineRule="auto"/>
      <w:jc w:val="both"/>
    </w:pPr>
    <w:rPr>
      <w:sz w:val="24"/>
      <w:szCs w:val="24"/>
    </w:rPr>
  </w:style>
  <w:style w:type="paragraph" w:customStyle="1" w:styleId="western">
    <w:name w:val="western"/>
    <w:basedOn w:val="Normal"/>
    <w:rsid w:val="001A7756"/>
    <w:pPr>
      <w:suppressAutoHyphens w:val="0"/>
      <w:spacing w:before="280"/>
      <w:jc w:val="both"/>
    </w:pPr>
    <w:rPr>
      <w:rFonts w:ascii="Arial" w:hAnsi="Arial" w:cs="Arial"/>
      <w:b/>
      <w:bCs/>
      <w:color w:val="000000"/>
      <w:sz w:val="24"/>
      <w:szCs w:val="24"/>
      <w:lang w:eastAsia="ro-RO"/>
    </w:rPr>
  </w:style>
  <w:style w:type="paragraph" w:styleId="NoSpacing">
    <w:name w:val="No Spacing"/>
    <w:qFormat/>
    <w:rsid w:val="001A7756"/>
    <w:pPr>
      <w:suppressAutoHyphens/>
    </w:pPr>
    <w:rPr>
      <w:rFonts w:ascii="Calibri" w:eastAsia="Calibri" w:hAnsi="Calibri" w:cs="Calibri"/>
      <w:sz w:val="22"/>
      <w:szCs w:val="22"/>
      <w:lang w:val="en-US" w:eastAsia="zh-CN"/>
    </w:rPr>
  </w:style>
  <w:style w:type="paragraph" w:customStyle="1" w:styleId="title-article-norm">
    <w:name w:val="title-article-norm"/>
    <w:basedOn w:val="Normal"/>
    <w:rsid w:val="001A7756"/>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7498</Words>
  <Characters>43489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NOTA DE FUNDAMENTARE</vt:lpstr>
    </vt:vector>
  </TitlesOfParts>
  <Company/>
  <LinksUpToDate>false</LinksUpToDate>
  <CharactersWithSpaces>50886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subject/>
  <dc:creator>mfp</dc:creator>
  <cp:keywords/>
  <cp:lastModifiedBy>49555071</cp:lastModifiedBy>
  <cp:revision>2</cp:revision>
  <cp:lastPrinted>2019-08-05T20:59:00Z</cp:lastPrinted>
  <dcterms:created xsi:type="dcterms:W3CDTF">2019-08-06T06:11:00Z</dcterms:created>
  <dcterms:modified xsi:type="dcterms:W3CDTF">2019-08-06T06:11:00Z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