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94B" w:rsidRPr="00024E3E" w:rsidRDefault="0083594B" w:rsidP="0058049D">
      <w:pPr>
        <w:spacing w:after="0" w:line="240" w:lineRule="auto"/>
        <w:rPr>
          <w:rFonts w:ascii="Times New Roman" w:hAnsi="Times New Roman"/>
          <w:b/>
          <w:bCs/>
        </w:rPr>
      </w:pPr>
      <w:bookmarkStart w:id="0" w:name="_GoBack"/>
      <w:bookmarkEnd w:id="0"/>
      <w:r w:rsidRPr="00024E3E">
        <w:rPr>
          <w:rFonts w:ascii="Times New Roman" w:hAnsi="Times New Roman"/>
          <w:b/>
          <w:bCs/>
        </w:rPr>
        <w:t xml:space="preserve">                                                                GUVERNUL ROMÂNIEI </w:t>
      </w:r>
    </w:p>
    <w:p w:rsidR="0083594B" w:rsidRPr="00024E3E" w:rsidRDefault="0083594B" w:rsidP="00C37AF4">
      <w:pPr>
        <w:spacing w:after="0" w:line="240" w:lineRule="auto"/>
        <w:rPr>
          <w:rFonts w:ascii="Times New Roman" w:hAnsi="Times New Roman"/>
          <w:b/>
          <w:bCs/>
        </w:rPr>
      </w:pPr>
    </w:p>
    <w:p w:rsidR="0083594B" w:rsidRDefault="0083594B" w:rsidP="00C37AF4">
      <w:pPr>
        <w:spacing w:after="0" w:line="240" w:lineRule="auto"/>
        <w:rPr>
          <w:rFonts w:ascii="Times New Roman" w:hAnsi="Times New Roman"/>
          <w:b/>
          <w:bCs/>
        </w:rPr>
      </w:pPr>
    </w:p>
    <w:p w:rsidR="0083594B" w:rsidRPr="00024E3E" w:rsidRDefault="0083594B" w:rsidP="00C37AF4">
      <w:pPr>
        <w:spacing w:after="0" w:line="240" w:lineRule="auto"/>
        <w:rPr>
          <w:rFonts w:ascii="Times New Roman" w:hAnsi="Times New Roman"/>
          <w:b/>
          <w:bCs/>
        </w:rPr>
      </w:pPr>
    </w:p>
    <w:p w:rsidR="0083594B" w:rsidRPr="00024E3E" w:rsidRDefault="0083594B" w:rsidP="00C37AF4">
      <w:pPr>
        <w:spacing w:after="0" w:line="240" w:lineRule="auto"/>
        <w:rPr>
          <w:rFonts w:ascii="Times New Roman" w:hAnsi="Times New Roman"/>
          <w:b/>
          <w:bCs/>
        </w:rPr>
      </w:pPr>
      <w:r w:rsidRPr="00024E3E">
        <w:rPr>
          <w:rFonts w:ascii="Times New Roman" w:hAnsi="Times New Roman"/>
          <w:b/>
          <w:bCs/>
        </w:rPr>
        <w:t xml:space="preserve">                                                                             HOTĂRÂRE </w:t>
      </w:r>
    </w:p>
    <w:p w:rsidR="0083594B" w:rsidRPr="00024E3E" w:rsidRDefault="0083594B" w:rsidP="00B116CA">
      <w:pPr>
        <w:spacing w:after="0" w:line="240" w:lineRule="auto"/>
        <w:jc w:val="both"/>
        <w:rPr>
          <w:rFonts w:ascii="Times New Roman" w:hAnsi="Times New Roman"/>
        </w:rPr>
      </w:pPr>
      <w:r w:rsidRPr="00024E3E">
        <w:rPr>
          <w:rFonts w:ascii="Times New Roman" w:hAnsi="Times New Roman"/>
          <w:bCs/>
        </w:rPr>
        <w:t>pentru modificarea</w:t>
      </w:r>
      <w:r w:rsidRPr="00024E3E">
        <w:rPr>
          <w:rFonts w:ascii="Times New Roman" w:hAnsi="Times New Roman"/>
          <w:b/>
          <w:bCs/>
        </w:rPr>
        <w:t xml:space="preserve"> </w:t>
      </w:r>
      <w:r w:rsidRPr="00017A89">
        <w:rPr>
          <w:rFonts w:ascii="Times New Roman" w:hAnsi="Times New Roman"/>
          <w:bCs/>
        </w:rPr>
        <w:t xml:space="preserve">art.6 alin. (1) </w:t>
      </w:r>
      <w:r>
        <w:rPr>
          <w:rFonts w:ascii="Tahoma" w:hAnsi="Tahoma" w:cs="Tahoma"/>
          <w:bCs/>
        </w:rPr>
        <w:t>ș</w:t>
      </w:r>
      <w:r w:rsidRPr="00017A89">
        <w:rPr>
          <w:rFonts w:ascii="Times New Roman" w:hAnsi="Times New Roman"/>
          <w:bCs/>
        </w:rPr>
        <w:t>i alin. (3) din</w:t>
      </w:r>
      <w:r w:rsidRPr="00024E3E">
        <w:rPr>
          <w:rFonts w:ascii="Times New Roman" w:hAnsi="Times New Roman"/>
          <w:b/>
          <w:bCs/>
        </w:rPr>
        <w:t xml:space="preserve"> </w:t>
      </w:r>
      <w:r w:rsidRPr="00024E3E">
        <w:rPr>
          <w:rFonts w:ascii="Times New Roman" w:hAnsi="Times New Roman"/>
        </w:rPr>
        <w:t xml:space="preserve">Hotărârea  Guvernului nr. 834/1991  privind stabilirea </w:t>
      </w:r>
      <w:r w:rsidRPr="00024E3E">
        <w:rPr>
          <w:rFonts w:ascii="Tahoma" w:hAnsi="Tahoma" w:cs="Tahoma"/>
        </w:rPr>
        <w:t>ș</w:t>
      </w:r>
      <w:r w:rsidRPr="00024E3E">
        <w:rPr>
          <w:rFonts w:ascii="Times New Roman" w:hAnsi="Times New Roman"/>
        </w:rPr>
        <w:t>i evaluarea unor terenuri de</w:t>
      </w:r>
      <w:r w:rsidRPr="00024E3E">
        <w:rPr>
          <w:rFonts w:ascii="Tahoma" w:hAnsi="Tahoma" w:cs="Tahoma"/>
        </w:rPr>
        <w:t>ț</w:t>
      </w:r>
      <w:r w:rsidRPr="00024E3E">
        <w:rPr>
          <w:rFonts w:ascii="Times New Roman" w:hAnsi="Times New Roman"/>
        </w:rPr>
        <w:t>inute de societă</w:t>
      </w:r>
      <w:r w:rsidRPr="00024E3E">
        <w:rPr>
          <w:rFonts w:ascii="Tahoma" w:hAnsi="Tahoma" w:cs="Tahoma"/>
        </w:rPr>
        <w:t>ț</w:t>
      </w:r>
      <w:r w:rsidRPr="00024E3E">
        <w:rPr>
          <w:rFonts w:ascii="Times New Roman" w:hAnsi="Times New Roman"/>
        </w:rPr>
        <w:t>ile comerciale cu capital de stat, cu modificările şi completările ulterioare</w:t>
      </w:r>
      <w:r w:rsidRPr="00024E3E">
        <w:rPr>
          <w:rFonts w:ascii="Times New Roman" w:hAnsi="Times New Roman"/>
          <w:b/>
          <w:bCs/>
        </w:rPr>
        <w:t xml:space="preserve"> </w:t>
      </w:r>
      <w:r w:rsidRPr="00C66F4D">
        <w:rPr>
          <w:rFonts w:ascii="Tahoma" w:hAnsi="Tahoma" w:cs="Tahoma"/>
          <w:bCs/>
        </w:rPr>
        <w:t>ș</w:t>
      </w:r>
      <w:r w:rsidRPr="00C66F4D">
        <w:rPr>
          <w:rFonts w:ascii="Times New Roman" w:hAnsi="Times New Roman"/>
          <w:bCs/>
        </w:rPr>
        <w:t>i a</w:t>
      </w:r>
      <w:r w:rsidRPr="00024E3E">
        <w:rPr>
          <w:rFonts w:ascii="Times New Roman" w:hAnsi="Times New Roman"/>
        </w:rPr>
        <w:t>rt.143 din Hotărârea Guvernului  nr. 577/2002 privind aprobarea Normelor metodologice de aplicare a Ordonan</w:t>
      </w:r>
      <w:r w:rsidRPr="00024E3E">
        <w:rPr>
          <w:rFonts w:ascii="Tahoma" w:hAnsi="Tahoma" w:cs="Tahoma"/>
        </w:rPr>
        <w:t>ț</w:t>
      </w:r>
      <w:r w:rsidRPr="00024E3E">
        <w:rPr>
          <w:rFonts w:ascii="Times New Roman" w:hAnsi="Times New Roman"/>
        </w:rPr>
        <w:t>ei de urgen</w:t>
      </w:r>
      <w:r w:rsidRPr="00024E3E">
        <w:rPr>
          <w:rFonts w:ascii="Tahoma" w:hAnsi="Tahoma" w:cs="Tahoma"/>
        </w:rPr>
        <w:t>ț</w:t>
      </w:r>
      <w:r w:rsidRPr="00024E3E">
        <w:rPr>
          <w:rFonts w:ascii="Times New Roman" w:hAnsi="Times New Roman"/>
        </w:rPr>
        <w:t>ă a Guvernului nr. 88/1997 privind privatizarea societă</w:t>
      </w:r>
      <w:r w:rsidRPr="00024E3E">
        <w:rPr>
          <w:rFonts w:ascii="Tahoma" w:hAnsi="Tahoma" w:cs="Tahoma"/>
        </w:rPr>
        <w:t>ț</w:t>
      </w:r>
      <w:r w:rsidRPr="00024E3E">
        <w:rPr>
          <w:rFonts w:ascii="Times New Roman" w:hAnsi="Times New Roman"/>
        </w:rPr>
        <w:t xml:space="preserve">ilor comerciale, cu modificările </w:t>
      </w:r>
      <w:r w:rsidRPr="00024E3E">
        <w:rPr>
          <w:rFonts w:ascii="Tahoma" w:hAnsi="Tahoma" w:cs="Tahoma"/>
        </w:rPr>
        <w:t>ș</w:t>
      </w:r>
      <w:r w:rsidRPr="00024E3E">
        <w:rPr>
          <w:rFonts w:ascii="Times New Roman" w:hAnsi="Times New Roman"/>
        </w:rPr>
        <w:t xml:space="preserve">i completările ulterioare, </w:t>
      </w:r>
      <w:r w:rsidRPr="00024E3E">
        <w:rPr>
          <w:rFonts w:ascii="Tahoma" w:hAnsi="Tahoma" w:cs="Tahoma"/>
        </w:rPr>
        <w:t>ș</w:t>
      </w:r>
      <w:r w:rsidRPr="00024E3E">
        <w:rPr>
          <w:rFonts w:ascii="Times New Roman" w:hAnsi="Times New Roman"/>
        </w:rPr>
        <w:t xml:space="preserve">i a Legii nr. 137/2002 privind unele  </w:t>
      </w:r>
    </w:p>
    <w:p w:rsidR="0083594B" w:rsidRPr="00024E3E" w:rsidRDefault="0083594B" w:rsidP="00B116CA">
      <w:pPr>
        <w:spacing w:after="0" w:line="240" w:lineRule="auto"/>
        <w:jc w:val="both"/>
        <w:rPr>
          <w:rFonts w:ascii="Times New Roman" w:hAnsi="Times New Roman"/>
        </w:rPr>
      </w:pPr>
      <w:r w:rsidRPr="00024E3E">
        <w:rPr>
          <w:rFonts w:ascii="Times New Roman" w:hAnsi="Times New Roman"/>
        </w:rPr>
        <w:t xml:space="preserve">                                                  măsuri pentru accelerarea privatizării</w:t>
      </w:r>
    </w:p>
    <w:p w:rsidR="0083594B" w:rsidRPr="00024E3E" w:rsidRDefault="0083594B" w:rsidP="00B116CA">
      <w:pPr>
        <w:spacing w:after="0" w:line="240" w:lineRule="auto"/>
        <w:jc w:val="both"/>
        <w:rPr>
          <w:rFonts w:ascii="Times New Roman" w:hAnsi="Times New Roman"/>
          <w:b/>
          <w:bCs/>
        </w:rPr>
      </w:pPr>
    </w:p>
    <w:p w:rsidR="0083594B" w:rsidRPr="00024E3E" w:rsidRDefault="0083594B" w:rsidP="0058049D">
      <w:pPr>
        <w:spacing w:after="0" w:line="240" w:lineRule="auto"/>
        <w:rPr>
          <w:rFonts w:ascii="Times New Roman" w:hAnsi="Times New Roman"/>
        </w:rPr>
      </w:pPr>
      <w:r w:rsidRPr="00024E3E">
        <w:rPr>
          <w:rFonts w:ascii="Times New Roman" w:hAnsi="Times New Roman"/>
        </w:rPr>
        <w:t> În temeiul art. 108 din Constituţia României, republicatã,</w:t>
      </w:r>
      <w:r w:rsidRPr="00024E3E">
        <w:rPr>
          <w:rFonts w:ascii="Times New Roman" w:hAnsi="Times New Roman"/>
        </w:rPr>
        <w:br/>
      </w:r>
    </w:p>
    <w:p w:rsidR="0083594B" w:rsidRPr="00024E3E" w:rsidRDefault="0083594B" w:rsidP="00774DCE">
      <w:pPr>
        <w:spacing w:after="0" w:line="240" w:lineRule="auto"/>
        <w:rPr>
          <w:rFonts w:ascii="Times New Roman" w:hAnsi="Times New Roman"/>
        </w:rPr>
      </w:pPr>
    </w:p>
    <w:p w:rsidR="0083594B" w:rsidRPr="00024E3E" w:rsidRDefault="0083594B" w:rsidP="003236DF">
      <w:pPr>
        <w:spacing w:after="0" w:line="240" w:lineRule="auto"/>
        <w:jc w:val="both"/>
        <w:rPr>
          <w:rFonts w:ascii="Times New Roman" w:hAnsi="Times New Roman"/>
        </w:rPr>
      </w:pPr>
      <w:r w:rsidRPr="00024E3E">
        <w:rPr>
          <w:rFonts w:ascii="Times New Roman" w:hAnsi="Times New Roman"/>
        </w:rPr>
        <w:t>Guvernul României adoptã prezenta hotãrâre.</w:t>
      </w:r>
    </w:p>
    <w:p w:rsidR="0083594B" w:rsidRPr="00024E3E" w:rsidRDefault="0083594B" w:rsidP="00774DCE">
      <w:pPr>
        <w:spacing w:after="0" w:line="240" w:lineRule="auto"/>
        <w:jc w:val="both"/>
        <w:rPr>
          <w:rFonts w:ascii="Times New Roman" w:hAnsi="Times New Roman"/>
        </w:rPr>
      </w:pPr>
      <w:r w:rsidRPr="00024E3E">
        <w:rPr>
          <w:rFonts w:ascii="Times New Roman" w:hAnsi="Times New Roman"/>
        </w:rPr>
        <w:br/>
      </w:r>
      <w:r w:rsidRPr="00024E3E">
        <w:rPr>
          <w:rFonts w:ascii="Times New Roman" w:hAnsi="Times New Roman"/>
        </w:rPr>
        <w:br/>
      </w:r>
      <w:bookmarkStart w:id="1" w:name="A1"/>
      <w:r w:rsidRPr="00024E3E">
        <w:rPr>
          <w:rFonts w:ascii="Times New Roman" w:hAnsi="Times New Roman"/>
          <w:b/>
        </w:rPr>
        <w:t>A</w:t>
      </w:r>
      <w:bookmarkEnd w:id="1"/>
      <w:r w:rsidRPr="00024E3E">
        <w:rPr>
          <w:rFonts w:ascii="Times New Roman" w:hAnsi="Times New Roman"/>
          <w:b/>
        </w:rPr>
        <w:t>rt.I</w:t>
      </w:r>
      <w:r w:rsidRPr="00024E3E">
        <w:rPr>
          <w:rFonts w:ascii="Times New Roman" w:hAnsi="Times New Roman"/>
        </w:rPr>
        <w:t xml:space="preserve">  Alineatele  (1) </w:t>
      </w:r>
      <w:r w:rsidRPr="00024E3E">
        <w:rPr>
          <w:rFonts w:ascii="Tahoma" w:hAnsi="Tahoma" w:cs="Tahoma"/>
        </w:rPr>
        <w:t>ș</w:t>
      </w:r>
      <w:r w:rsidRPr="00024E3E">
        <w:rPr>
          <w:rFonts w:ascii="Times New Roman" w:hAnsi="Times New Roman"/>
        </w:rPr>
        <w:t xml:space="preserve">i  (3) ale  articolului 6 din Hotărârea Guvernului nr. 834/1991  privind stabilirea </w:t>
      </w:r>
      <w:r w:rsidRPr="00024E3E">
        <w:rPr>
          <w:rFonts w:ascii="Tahoma" w:hAnsi="Tahoma" w:cs="Tahoma"/>
        </w:rPr>
        <w:t>ș</w:t>
      </w:r>
      <w:r w:rsidRPr="00024E3E">
        <w:rPr>
          <w:rFonts w:ascii="Times New Roman" w:hAnsi="Times New Roman"/>
        </w:rPr>
        <w:t>i evaluarea unor terenuri de</w:t>
      </w:r>
      <w:r w:rsidRPr="00024E3E">
        <w:rPr>
          <w:rFonts w:ascii="Tahoma" w:hAnsi="Tahoma" w:cs="Tahoma"/>
        </w:rPr>
        <w:t>ț</w:t>
      </w:r>
      <w:r w:rsidRPr="00024E3E">
        <w:rPr>
          <w:rFonts w:ascii="Times New Roman" w:hAnsi="Times New Roman"/>
        </w:rPr>
        <w:t>inute de societă</w:t>
      </w:r>
      <w:r w:rsidRPr="00024E3E">
        <w:rPr>
          <w:rFonts w:ascii="Tahoma" w:hAnsi="Tahoma" w:cs="Tahoma"/>
        </w:rPr>
        <w:t>ț</w:t>
      </w:r>
      <w:r w:rsidRPr="00024E3E">
        <w:rPr>
          <w:rFonts w:ascii="Times New Roman" w:hAnsi="Times New Roman"/>
        </w:rPr>
        <w:t xml:space="preserve">ile comerciale cu capital de stat, cu modificările </w:t>
      </w:r>
      <w:r w:rsidRPr="00024E3E">
        <w:rPr>
          <w:rFonts w:ascii="Tahoma" w:hAnsi="Tahoma" w:cs="Tahoma"/>
        </w:rPr>
        <w:t>ș</w:t>
      </w:r>
      <w:r w:rsidRPr="00024E3E">
        <w:rPr>
          <w:rFonts w:ascii="Times New Roman" w:hAnsi="Times New Roman"/>
        </w:rPr>
        <w:t xml:space="preserve">i completările ulterioare , publicată în Monitorul Oficial al României, Partea I,  nr.259 din 20 decembrie 1991 se modifică </w:t>
      </w:r>
      <w:r w:rsidRPr="00024E3E">
        <w:rPr>
          <w:rFonts w:ascii="Tahoma" w:hAnsi="Tahoma" w:cs="Tahoma"/>
        </w:rPr>
        <w:t>ș</w:t>
      </w:r>
      <w:r w:rsidRPr="00024E3E">
        <w:rPr>
          <w:rFonts w:ascii="Times New Roman" w:hAnsi="Times New Roman"/>
        </w:rPr>
        <w:t>i va avea următorul cuprins :</w:t>
      </w:r>
    </w:p>
    <w:p w:rsidR="0083594B" w:rsidRPr="00024E3E" w:rsidRDefault="0083594B" w:rsidP="00774DCE">
      <w:pPr>
        <w:spacing w:after="0" w:line="240" w:lineRule="auto"/>
        <w:rPr>
          <w:rFonts w:ascii="Times New Roman" w:hAnsi="Times New Roman"/>
        </w:rPr>
      </w:pPr>
    </w:p>
    <w:p w:rsidR="0083594B" w:rsidRPr="00941311" w:rsidRDefault="0083594B" w:rsidP="00E57BFB">
      <w:pPr>
        <w:spacing w:after="0" w:line="240" w:lineRule="auto"/>
        <w:jc w:val="both"/>
        <w:rPr>
          <w:rFonts w:ascii="Times New Roman" w:hAnsi="Times New Roman"/>
        </w:rPr>
      </w:pPr>
      <w:r w:rsidRPr="00024E3E">
        <w:rPr>
          <w:rFonts w:ascii="Times New Roman" w:hAnsi="Times New Roman"/>
        </w:rPr>
        <w:t>”</w:t>
      </w:r>
      <w:r w:rsidRPr="00024E3E">
        <w:rPr>
          <w:rFonts w:ascii="Courier New" w:hAnsi="Courier New" w:cs="Courier New"/>
        </w:rPr>
        <w:t xml:space="preserve"> </w:t>
      </w:r>
      <w:r w:rsidRPr="00024E3E">
        <w:rPr>
          <w:rFonts w:ascii="Times New Roman" w:hAnsi="Times New Roman"/>
          <w:b/>
        </w:rPr>
        <w:t>(1)</w:t>
      </w:r>
      <w:r w:rsidRPr="00024E3E">
        <w:rPr>
          <w:rFonts w:ascii="Times New Roman" w:hAnsi="Times New Roman"/>
        </w:rPr>
        <w:t xml:space="preserve"> Terenurile stabilite potrivit art.1 se evaluează la valoarea justă determinată pe baza rapoartelor de evaluare întocmite, conform standardelor în vig</w:t>
      </w:r>
      <w:r>
        <w:rPr>
          <w:rFonts w:ascii="Times New Roman" w:hAnsi="Times New Roman"/>
        </w:rPr>
        <w:t xml:space="preserve">oare, de  </w:t>
      </w:r>
      <w:r w:rsidRPr="00941311">
        <w:rPr>
          <w:rFonts w:ascii="Times New Roman" w:hAnsi="Times New Roman"/>
        </w:rPr>
        <w:t xml:space="preserve">experti </w:t>
      </w:r>
      <w:r>
        <w:rPr>
          <w:rFonts w:ascii="Times New Roman" w:hAnsi="Times New Roman"/>
        </w:rPr>
        <w:t>autorizaţi</w:t>
      </w:r>
      <w:r w:rsidRPr="00024E3E">
        <w:rPr>
          <w:rFonts w:ascii="Times New Roman" w:hAnsi="Times New Roman"/>
        </w:rPr>
        <w:t xml:space="preserve"> conform legii,  </w:t>
      </w:r>
      <w:r w:rsidRPr="00941311">
        <w:rPr>
          <w:rFonts w:ascii="Times New Roman" w:hAnsi="Times New Roman"/>
        </w:rPr>
        <w:t xml:space="preserve">desemnati în conformitate cu prevederile alin. (1) al </w:t>
      </w:r>
      <w:r w:rsidRPr="00941311">
        <w:rPr>
          <w:rFonts w:ascii="Times New Roman" w:hAnsi="Times New Roman"/>
          <w:u w:val="single"/>
        </w:rPr>
        <w:t xml:space="preserve">art. 38 coroborat cu  39 şi 215 din Legea </w:t>
      </w:r>
      <w:r w:rsidRPr="00941311">
        <w:rPr>
          <w:rFonts w:ascii="Times New Roman" w:hAnsi="Times New Roman"/>
        </w:rPr>
        <w:t>societăţilor</w:t>
      </w:r>
      <w:r w:rsidRPr="00941311">
        <w:rPr>
          <w:rFonts w:ascii="Times New Roman" w:hAnsi="Times New Roman"/>
          <w:u w:val="single"/>
        </w:rPr>
        <w:t xml:space="preserve"> nr. 31/1990,</w:t>
      </w:r>
      <w:r w:rsidRPr="00941311">
        <w:rPr>
          <w:rFonts w:ascii="Times New Roman" w:hAnsi="Times New Roman"/>
        </w:rPr>
        <w:t xml:space="preserve"> republicată, cu modificările şi completările ulterioare.</w:t>
      </w:r>
    </w:p>
    <w:p w:rsidR="0083594B" w:rsidRPr="00941311" w:rsidRDefault="0083594B" w:rsidP="00774DCE">
      <w:pPr>
        <w:spacing w:after="0" w:line="240" w:lineRule="auto"/>
        <w:jc w:val="both"/>
        <w:rPr>
          <w:rFonts w:ascii="Times New Roman" w:hAnsi="Times New Roman"/>
        </w:rPr>
      </w:pPr>
    </w:p>
    <w:p w:rsidR="0083594B" w:rsidRPr="00941311" w:rsidRDefault="0083594B" w:rsidP="00774DCE">
      <w:pPr>
        <w:spacing w:after="0" w:line="240" w:lineRule="auto"/>
        <w:jc w:val="both"/>
        <w:rPr>
          <w:rFonts w:ascii="Times New Roman" w:hAnsi="Times New Roman"/>
        </w:rPr>
      </w:pPr>
      <w:r w:rsidRPr="00941311">
        <w:rPr>
          <w:rFonts w:ascii="Times New Roman" w:hAnsi="Times New Roman"/>
        </w:rPr>
        <w:t xml:space="preserve">     </w:t>
      </w:r>
      <w:r w:rsidRPr="00941311">
        <w:rPr>
          <w:rFonts w:ascii="Times New Roman" w:hAnsi="Times New Roman"/>
          <w:b/>
        </w:rPr>
        <w:t>(3)</w:t>
      </w:r>
      <w:r w:rsidRPr="00941311">
        <w:rPr>
          <w:rFonts w:ascii="Times New Roman" w:hAnsi="Times New Roman"/>
        </w:rPr>
        <w:t xml:space="preserve"> </w:t>
      </w:r>
      <w:bookmarkStart w:id="2" w:name="REF0"/>
      <w:bookmarkStart w:id="3" w:name="REF1"/>
      <w:bookmarkEnd w:id="2"/>
      <w:bookmarkEnd w:id="3"/>
      <w:r w:rsidRPr="00941311">
        <w:rPr>
          <w:rFonts w:ascii="Times New Roman" w:hAnsi="Times New Roman"/>
        </w:rPr>
        <w:t>Majorarea capitalului social cu aportul în natură al statului reprezentând terenuri pentru care s-au ob</w:t>
      </w:r>
      <w:r w:rsidRPr="00941311">
        <w:rPr>
          <w:rFonts w:ascii="Tahoma" w:hAnsi="Tahoma" w:cs="Tahoma"/>
        </w:rPr>
        <w:t>ț</w:t>
      </w:r>
      <w:r w:rsidRPr="00941311">
        <w:rPr>
          <w:rFonts w:ascii="Times New Roman" w:hAnsi="Times New Roman"/>
        </w:rPr>
        <w:t>inut certificate de atestare a dreptului de proprietate se efectuează la valoarea justă determinată prin raport de evaluare întocmit, conform standardelor în vigoare, de   experti autorizaţi, atestaţi conform legii,  desemnati în conformitate cu prevederile alin. (1), cu cel mult 60 zile înainte de data convocării adunării generale a ac</w:t>
      </w:r>
      <w:r w:rsidRPr="00941311">
        <w:rPr>
          <w:rFonts w:ascii="Tahoma" w:hAnsi="Tahoma" w:cs="Tahoma"/>
        </w:rPr>
        <w:t>ț</w:t>
      </w:r>
      <w:r w:rsidRPr="00941311">
        <w:rPr>
          <w:rFonts w:ascii="Times New Roman" w:hAnsi="Times New Roman"/>
        </w:rPr>
        <w:t>ionarilor pentru aprobarea majorării capitalului social.”</w:t>
      </w:r>
    </w:p>
    <w:p w:rsidR="0083594B" w:rsidRPr="00941311" w:rsidRDefault="0083594B" w:rsidP="00774DCE">
      <w:pPr>
        <w:spacing w:after="0" w:line="240" w:lineRule="auto"/>
        <w:jc w:val="both"/>
        <w:rPr>
          <w:rFonts w:ascii="Times New Roman" w:hAnsi="Times New Roman"/>
        </w:rPr>
      </w:pPr>
    </w:p>
    <w:p w:rsidR="0083594B" w:rsidRPr="00024E3E" w:rsidRDefault="0083594B" w:rsidP="00FB01DC">
      <w:pPr>
        <w:spacing w:after="0" w:line="240" w:lineRule="auto"/>
        <w:jc w:val="both"/>
        <w:rPr>
          <w:rFonts w:ascii="Times New Roman" w:hAnsi="Times New Roman"/>
        </w:rPr>
      </w:pPr>
      <w:r w:rsidRPr="00941311">
        <w:rPr>
          <w:rFonts w:ascii="Times New Roman" w:hAnsi="Times New Roman"/>
          <w:b/>
        </w:rPr>
        <w:t>Art.II</w:t>
      </w:r>
      <w:r w:rsidRPr="00941311">
        <w:rPr>
          <w:rFonts w:ascii="Times New Roman" w:hAnsi="Times New Roman"/>
        </w:rPr>
        <w:t>. Articolul 143 din Hotărârea Guvernului  nr. 577/2002 privind aprobarea Normelor me</w:t>
      </w:r>
      <w:r w:rsidRPr="00024E3E">
        <w:rPr>
          <w:rFonts w:ascii="Times New Roman" w:hAnsi="Times New Roman"/>
        </w:rPr>
        <w:t>todologice de aplicare a Ordonan</w:t>
      </w:r>
      <w:r w:rsidRPr="00024E3E">
        <w:rPr>
          <w:rFonts w:ascii="Tahoma" w:hAnsi="Tahoma" w:cs="Tahoma"/>
        </w:rPr>
        <w:t>ț</w:t>
      </w:r>
      <w:r w:rsidRPr="00024E3E">
        <w:rPr>
          <w:rFonts w:ascii="Times New Roman" w:hAnsi="Times New Roman"/>
        </w:rPr>
        <w:t>ei de urgen</w:t>
      </w:r>
      <w:r w:rsidRPr="00024E3E">
        <w:rPr>
          <w:rFonts w:ascii="Tahoma" w:hAnsi="Tahoma" w:cs="Tahoma"/>
        </w:rPr>
        <w:t>ț</w:t>
      </w:r>
      <w:r w:rsidRPr="00024E3E">
        <w:rPr>
          <w:rFonts w:ascii="Times New Roman" w:hAnsi="Times New Roman"/>
        </w:rPr>
        <w:t>ă a Guvernului nr. 88/1997 privind privatizarea societă</w:t>
      </w:r>
      <w:r w:rsidRPr="00024E3E">
        <w:rPr>
          <w:rFonts w:ascii="Tahoma" w:hAnsi="Tahoma" w:cs="Tahoma"/>
        </w:rPr>
        <w:t>ț</w:t>
      </w:r>
      <w:r w:rsidRPr="00024E3E">
        <w:rPr>
          <w:rFonts w:ascii="Times New Roman" w:hAnsi="Times New Roman"/>
        </w:rPr>
        <w:t xml:space="preserve">ilor comerciale, cu modificările </w:t>
      </w:r>
      <w:r w:rsidRPr="00024E3E">
        <w:rPr>
          <w:rFonts w:ascii="Tahoma" w:hAnsi="Tahoma" w:cs="Tahoma"/>
        </w:rPr>
        <w:t>ș</w:t>
      </w:r>
      <w:r w:rsidRPr="00024E3E">
        <w:rPr>
          <w:rFonts w:ascii="Times New Roman" w:hAnsi="Times New Roman"/>
        </w:rPr>
        <w:t xml:space="preserve">i completările ulterioare, </w:t>
      </w:r>
      <w:r w:rsidRPr="00024E3E">
        <w:rPr>
          <w:rFonts w:ascii="Tahoma" w:hAnsi="Tahoma" w:cs="Tahoma"/>
        </w:rPr>
        <w:t>ș</w:t>
      </w:r>
      <w:r w:rsidRPr="00024E3E">
        <w:rPr>
          <w:rFonts w:ascii="Times New Roman" w:hAnsi="Times New Roman"/>
        </w:rPr>
        <w:t xml:space="preserve">i a Legii nr. 137/2002 privind unele măsuri pentru accelerarea privatizării publicată în Monitorul Oficial al României, Partea I,  nr.434 din 21 iunie 2002 se modifică </w:t>
      </w:r>
      <w:r w:rsidRPr="00024E3E">
        <w:rPr>
          <w:rFonts w:ascii="Tahoma" w:hAnsi="Tahoma" w:cs="Tahoma"/>
        </w:rPr>
        <w:t>ș</w:t>
      </w:r>
      <w:r w:rsidRPr="00024E3E">
        <w:rPr>
          <w:rFonts w:ascii="Times New Roman" w:hAnsi="Times New Roman"/>
        </w:rPr>
        <w:t>i va avea următorul cuprins :</w:t>
      </w:r>
    </w:p>
    <w:p w:rsidR="0083594B" w:rsidRPr="00024E3E" w:rsidRDefault="0083594B" w:rsidP="00FB01DC">
      <w:pPr>
        <w:spacing w:after="0" w:line="240" w:lineRule="auto"/>
        <w:jc w:val="both"/>
        <w:rPr>
          <w:rFonts w:ascii="Times New Roman" w:hAnsi="Times New Roman"/>
        </w:rPr>
      </w:pPr>
    </w:p>
    <w:p w:rsidR="0083594B" w:rsidRDefault="0083594B" w:rsidP="00B116CA">
      <w:pPr>
        <w:spacing w:after="0" w:line="240" w:lineRule="auto"/>
        <w:jc w:val="both"/>
        <w:rPr>
          <w:rFonts w:ascii="Times New Roman" w:hAnsi="Times New Roman"/>
        </w:rPr>
      </w:pPr>
      <w:r w:rsidRPr="00024E3E">
        <w:rPr>
          <w:rFonts w:ascii="Times New Roman" w:hAnsi="Times New Roman"/>
        </w:rPr>
        <w:t>”</w:t>
      </w:r>
      <w:r w:rsidRPr="00024E3E">
        <w:rPr>
          <w:rFonts w:ascii="Times New Roman" w:hAnsi="Times New Roman"/>
          <w:b/>
        </w:rPr>
        <w:t>Art.143</w:t>
      </w:r>
      <w:r w:rsidRPr="00024E3E">
        <w:rPr>
          <w:rFonts w:ascii="Times New Roman" w:hAnsi="Times New Roman"/>
        </w:rPr>
        <w:t>-Valoarea cu care se majorează capitalul social este valoarea</w:t>
      </w:r>
      <w:r w:rsidRPr="00024E3E">
        <w:t xml:space="preserve"> </w:t>
      </w:r>
      <w:r w:rsidRPr="00024E3E">
        <w:rPr>
          <w:rFonts w:ascii="Times New Roman" w:hAnsi="Times New Roman"/>
        </w:rPr>
        <w:t>justă determinată prin raport de evaluare întocmit, conform standardelor în vigoare, de experti</w:t>
      </w:r>
      <w:r w:rsidRPr="00941311">
        <w:rPr>
          <w:rFonts w:ascii="Times New Roman" w:hAnsi="Times New Roman"/>
        </w:rPr>
        <w:t xml:space="preserve"> a</w:t>
      </w:r>
      <w:r w:rsidRPr="00024E3E">
        <w:rPr>
          <w:rFonts w:ascii="Times New Roman" w:hAnsi="Times New Roman"/>
        </w:rPr>
        <w:t>uto</w:t>
      </w:r>
      <w:r>
        <w:rPr>
          <w:rFonts w:ascii="Times New Roman" w:hAnsi="Times New Roman"/>
        </w:rPr>
        <w:t>rizaţi</w:t>
      </w:r>
      <w:r w:rsidRPr="00024E3E">
        <w:rPr>
          <w:rFonts w:ascii="Times New Roman" w:hAnsi="Times New Roman"/>
        </w:rPr>
        <w:t xml:space="preserve"> conform legii, cu cel mult </w:t>
      </w:r>
      <w:r>
        <w:rPr>
          <w:rFonts w:ascii="Times New Roman" w:hAnsi="Times New Roman"/>
        </w:rPr>
        <w:t>6</w:t>
      </w:r>
      <w:r w:rsidRPr="00024E3E">
        <w:rPr>
          <w:rFonts w:ascii="Times New Roman" w:hAnsi="Times New Roman"/>
        </w:rPr>
        <w:t>0 zile înainte de data convocării adunării generale a ac</w:t>
      </w:r>
      <w:r w:rsidRPr="00024E3E">
        <w:rPr>
          <w:rFonts w:ascii="Tahoma" w:hAnsi="Tahoma" w:cs="Tahoma"/>
        </w:rPr>
        <w:t>ț</w:t>
      </w:r>
      <w:r w:rsidRPr="00024E3E">
        <w:rPr>
          <w:rFonts w:ascii="Times New Roman" w:hAnsi="Times New Roman"/>
        </w:rPr>
        <w:t>ionarilor pentru aprobarea majorării capitalului social.”</w:t>
      </w:r>
    </w:p>
    <w:p w:rsidR="0083594B" w:rsidRDefault="0083594B" w:rsidP="00B116CA">
      <w:pPr>
        <w:spacing w:after="0" w:line="240" w:lineRule="auto"/>
        <w:jc w:val="both"/>
        <w:rPr>
          <w:rFonts w:ascii="Times New Roman" w:hAnsi="Times New Roman"/>
        </w:rPr>
      </w:pPr>
    </w:p>
    <w:p w:rsidR="0083594B" w:rsidRPr="00024E3E" w:rsidRDefault="0083594B" w:rsidP="00B116CA">
      <w:pPr>
        <w:spacing w:after="0" w:line="240" w:lineRule="auto"/>
        <w:jc w:val="both"/>
        <w:rPr>
          <w:rFonts w:ascii="Times New Roman" w:hAnsi="Times New Roman"/>
        </w:rPr>
      </w:pPr>
    </w:p>
    <w:p w:rsidR="0083594B" w:rsidRPr="00024E3E" w:rsidRDefault="0083594B" w:rsidP="00B116CA">
      <w:pPr>
        <w:spacing w:after="0" w:line="240" w:lineRule="auto"/>
        <w:jc w:val="center"/>
        <w:rPr>
          <w:rFonts w:ascii="Times New Roman" w:hAnsi="Times New Roman"/>
          <w:b/>
        </w:rPr>
      </w:pPr>
      <w:bookmarkStart w:id="4" w:name="REF3"/>
      <w:bookmarkStart w:id="5" w:name="REF4"/>
      <w:bookmarkEnd w:id="4"/>
      <w:bookmarkEnd w:id="5"/>
    </w:p>
    <w:p w:rsidR="0083594B" w:rsidRDefault="0083594B" w:rsidP="00B116CA">
      <w:pPr>
        <w:spacing w:after="0" w:line="240" w:lineRule="auto"/>
        <w:jc w:val="center"/>
        <w:rPr>
          <w:rFonts w:ascii="Times New Roman" w:hAnsi="Times New Roman"/>
          <w:b/>
          <w:sz w:val="20"/>
          <w:szCs w:val="20"/>
        </w:rPr>
      </w:pPr>
      <w:r w:rsidRPr="00024E3E">
        <w:rPr>
          <w:rFonts w:ascii="Times New Roman" w:hAnsi="Times New Roman"/>
          <w:b/>
          <w:sz w:val="20"/>
          <w:szCs w:val="20"/>
        </w:rPr>
        <w:t>PRIM-MINISTRU</w:t>
      </w:r>
    </w:p>
    <w:p w:rsidR="0083594B" w:rsidRPr="00024E3E" w:rsidRDefault="0083594B" w:rsidP="00B116CA">
      <w:pPr>
        <w:spacing w:after="0" w:line="240" w:lineRule="auto"/>
        <w:jc w:val="center"/>
        <w:rPr>
          <w:rFonts w:ascii="Times New Roman" w:hAnsi="Times New Roman"/>
          <w:b/>
          <w:sz w:val="20"/>
          <w:szCs w:val="20"/>
        </w:rPr>
      </w:pPr>
    </w:p>
    <w:p w:rsidR="0083594B" w:rsidRPr="00024E3E" w:rsidRDefault="0083594B" w:rsidP="00774DCE">
      <w:pPr>
        <w:spacing w:after="0" w:line="240" w:lineRule="auto"/>
        <w:jc w:val="center"/>
        <w:rPr>
          <w:rFonts w:ascii="Times New Roman" w:hAnsi="Times New Roman"/>
          <w:b/>
          <w:sz w:val="20"/>
          <w:szCs w:val="20"/>
        </w:rPr>
      </w:pPr>
      <w:r>
        <w:rPr>
          <w:rFonts w:ascii="Times New Roman" w:hAnsi="Times New Roman"/>
          <w:b/>
          <w:sz w:val="20"/>
          <w:szCs w:val="20"/>
        </w:rPr>
        <w:t xml:space="preserve"> Viorica-Vasilica DĂNCILĂ</w:t>
      </w:r>
    </w:p>
    <w:p w:rsidR="0083594B" w:rsidRDefault="0083594B" w:rsidP="0046010B">
      <w:pPr>
        <w:spacing w:after="0" w:line="240" w:lineRule="auto"/>
        <w:rPr>
          <w:rFonts w:ascii="Times New Roman" w:hAnsi="Times New Roman"/>
          <w:sz w:val="24"/>
          <w:szCs w:val="24"/>
        </w:rPr>
      </w:pPr>
      <w:r w:rsidRPr="00024E3E">
        <w:rPr>
          <w:rFonts w:ascii="Times New Roman" w:hAnsi="Times New Roman"/>
          <w:sz w:val="24"/>
          <w:szCs w:val="24"/>
        </w:rPr>
        <w:br/>
        <w:t>                            </w:t>
      </w:r>
    </w:p>
    <w:sectPr w:rsidR="0083594B" w:rsidSect="00B116CA">
      <w:pgSz w:w="12240" w:h="15840"/>
      <w:pgMar w:top="851"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0000000000000000000"/>
    <w:charset w:val="00"/>
    <w:family w:val="swiss"/>
    <w:notTrueType/>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94D"/>
    <w:multiLevelType w:val="multilevel"/>
    <w:tmpl w:val="51768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F95D62"/>
    <w:multiLevelType w:val="multilevel"/>
    <w:tmpl w:val="604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30CE2"/>
    <w:multiLevelType w:val="multilevel"/>
    <w:tmpl w:val="E452D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CF061B"/>
    <w:multiLevelType w:val="multilevel"/>
    <w:tmpl w:val="CAF2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4644B9"/>
    <w:multiLevelType w:val="multilevel"/>
    <w:tmpl w:val="58E84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5F6785"/>
    <w:multiLevelType w:val="hybridMultilevel"/>
    <w:tmpl w:val="0800251E"/>
    <w:lvl w:ilvl="0" w:tplc="A36CEE00">
      <w:start w:val="2"/>
      <w:numFmt w:val="bullet"/>
      <w:lvlText w:val="-"/>
      <w:lvlJc w:val="left"/>
      <w:pPr>
        <w:ind w:left="720" w:hanging="360"/>
      </w:pPr>
      <w:rPr>
        <w:rFonts w:ascii="Times New Roman" w:eastAsia="Times New Roman" w:hAnsi="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1D33"/>
    <w:rsid w:val="00006408"/>
    <w:rsid w:val="00017A89"/>
    <w:rsid w:val="00024E3E"/>
    <w:rsid w:val="00041D4F"/>
    <w:rsid w:val="00053964"/>
    <w:rsid w:val="00055264"/>
    <w:rsid w:val="00067AE9"/>
    <w:rsid w:val="000850CA"/>
    <w:rsid w:val="00096507"/>
    <w:rsid w:val="000B3042"/>
    <w:rsid w:val="000D665D"/>
    <w:rsid w:val="000E1231"/>
    <w:rsid w:val="000E2C3C"/>
    <w:rsid w:val="000F32E1"/>
    <w:rsid w:val="001075A7"/>
    <w:rsid w:val="00133CC3"/>
    <w:rsid w:val="0013457E"/>
    <w:rsid w:val="00157383"/>
    <w:rsid w:val="001929DA"/>
    <w:rsid w:val="001E3174"/>
    <w:rsid w:val="001F3165"/>
    <w:rsid w:val="001F6AD7"/>
    <w:rsid w:val="002305E7"/>
    <w:rsid w:val="002323FB"/>
    <w:rsid w:val="0026761D"/>
    <w:rsid w:val="002B5F4A"/>
    <w:rsid w:val="002F4CAA"/>
    <w:rsid w:val="003132D6"/>
    <w:rsid w:val="003224BB"/>
    <w:rsid w:val="003236DF"/>
    <w:rsid w:val="0032785C"/>
    <w:rsid w:val="00334F8D"/>
    <w:rsid w:val="00343AF3"/>
    <w:rsid w:val="00357B42"/>
    <w:rsid w:val="00384771"/>
    <w:rsid w:val="003965D8"/>
    <w:rsid w:val="003C056F"/>
    <w:rsid w:val="003E55AF"/>
    <w:rsid w:val="00417138"/>
    <w:rsid w:val="00431653"/>
    <w:rsid w:val="00444DCA"/>
    <w:rsid w:val="0046010B"/>
    <w:rsid w:val="004618B3"/>
    <w:rsid w:val="00485A59"/>
    <w:rsid w:val="00530181"/>
    <w:rsid w:val="00561746"/>
    <w:rsid w:val="005627AC"/>
    <w:rsid w:val="00564062"/>
    <w:rsid w:val="0058049D"/>
    <w:rsid w:val="005B7E17"/>
    <w:rsid w:val="005E107F"/>
    <w:rsid w:val="005F45AB"/>
    <w:rsid w:val="005F711A"/>
    <w:rsid w:val="00614069"/>
    <w:rsid w:val="00622519"/>
    <w:rsid w:val="00631A1C"/>
    <w:rsid w:val="0063406D"/>
    <w:rsid w:val="0066641B"/>
    <w:rsid w:val="006871C0"/>
    <w:rsid w:val="006910AA"/>
    <w:rsid w:val="007019E6"/>
    <w:rsid w:val="00705829"/>
    <w:rsid w:val="00717621"/>
    <w:rsid w:val="007343FF"/>
    <w:rsid w:val="007437CD"/>
    <w:rsid w:val="0074626F"/>
    <w:rsid w:val="0076025D"/>
    <w:rsid w:val="00774DCE"/>
    <w:rsid w:val="0077504B"/>
    <w:rsid w:val="00776876"/>
    <w:rsid w:val="007C4C3C"/>
    <w:rsid w:val="007E1B54"/>
    <w:rsid w:val="0083594B"/>
    <w:rsid w:val="00877E4D"/>
    <w:rsid w:val="00887C11"/>
    <w:rsid w:val="008A7635"/>
    <w:rsid w:val="008B0431"/>
    <w:rsid w:val="008C7D65"/>
    <w:rsid w:val="008E61D8"/>
    <w:rsid w:val="0091123F"/>
    <w:rsid w:val="00941311"/>
    <w:rsid w:val="0096735F"/>
    <w:rsid w:val="00980BDE"/>
    <w:rsid w:val="00981CE6"/>
    <w:rsid w:val="00982854"/>
    <w:rsid w:val="009A05E1"/>
    <w:rsid w:val="00A2498A"/>
    <w:rsid w:val="00A3152E"/>
    <w:rsid w:val="00A54EB9"/>
    <w:rsid w:val="00A76185"/>
    <w:rsid w:val="00A826F7"/>
    <w:rsid w:val="00AD6E75"/>
    <w:rsid w:val="00B116CA"/>
    <w:rsid w:val="00B161F9"/>
    <w:rsid w:val="00BB41E2"/>
    <w:rsid w:val="00BD00D5"/>
    <w:rsid w:val="00C103F2"/>
    <w:rsid w:val="00C20A43"/>
    <w:rsid w:val="00C37AF4"/>
    <w:rsid w:val="00C66F4D"/>
    <w:rsid w:val="00C70AC5"/>
    <w:rsid w:val="00CA6BF7"/>
    <w:rsid w:val="00CE67A5"/>
    <w:rsid w:val="00D16AA1"/>
    <w:rsid w:val="00D41D33"/>
    <w:rsid w:val="00D42D32"/>
    <w:rsid w:val="00D72E74"/>
    <w:rsid w:val="00D878CC"/>
    <w:rsid w:val="00D9278E"/>
    <w:rsid w:val="00D95D24"/>
    <w:rsid w:val="00DE7284"/>
    <w:rsid w:val="00DE7287"/>
    <w:rsid w:val="00DF301F"/>
    <w:rsid w:val="00E03323"/>
    <w:rsid w:val="00E06109"/>
    <w:rsid w:val="00E57BFB"/>
    <w:rsid w:val="00E85479"/>
    <w:rsid w:val="00EA083A"/>
    <w:rsid w:val="00EB3231"/>
    <w:rsid w:val="00ED5E21"/>
    <w:rsid w:val="00ED63B9"/>
    <w:rsid w:val="00F03675"/>
    <w:rsid w:val="00F04F39"/>
    <w:rsid w:val="00F16CD8"/>
    <w:rsid w:val="00F325A0"/>
    <w:rsid w:val="00F859B2"/>
    <w:rsid w:val="00F91B5D"/>
    <w:rsid w:val="00FA54EE"/>
    <w:rsid w:val="00FB01DC"/>
    <w:rsid w:val="00FF43C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653"/>
    <w:pPr>
      <w:spacing w:after="160" w:line="259" w:lineRule="auto"/>
    </w:pPr>
  </w:style>
  <w:style w:type="paragraph" w:styleId="Heading1">
    <w:name w:val="heading 1"/>
    <w:basedOn w:val="Normal"/>
    <w:link w:val="Heading1Char"/>
    <w:uiPriority w:val="99"/>
    <w:qFormat/>
    <w:rsid w:val="00FF43CC"/>
    <w:pPr>
      <w:spacing w:before="100" w:beforeAutospacing="1" w:after="100" w:afterAutospacing="1" w:line="240" w:lineRule="auto"/>
      <w:outlineLvl w:val="0"/>
    </w:pPr>
    <w:rPr>
      <w:rFonts w:ascii="Times New Roman" w:eastAsia="Times New Roman" w:hAnsi="Times New Roman"/>
      <w:b/>
      <w:bCs/>
      <w:kern w:val="36"/>
      <w:sz w:val="48"/>
      <w:szCs w:val="48"/>
      <w:lang w:val="de-DE" w:eastAsia="de-DE"/>
    </w:rPr>
  </w:style>
  <w:style w:type="paragraph" w:styleId="Heading2">
    <w:name w:val="heading 2"/>
    <w:basedOn w:val="Normal"/>
    <w:link w:val="Heading2Char"/>
    <w:uiPriority w:val="99"/>
    <w:qFormat/>
    <w:rsid w:val="00FF43CC"/>
    <w:pPr>
      <w:spacing w:before="100" w:beforeAutospacing="1" w:after="100" w:afterAutospacing="1" w:line="240" w:lineRule="auto"/>
      <w:outlineLvl w:val="1"/>
    </w:pPr>
    <w:rPr>
      <w:rFonts w:ascii="Times New Roman" w:eastAsia="Times New Roman" w:hAnsi="Times New Roman"/>
      <w:b/>
      <w:bCs/>
      <w:sz w:val="36"/>
      <w:szCs w:val="36"/>
      <w:lang w:val="de-DE" w:eastAsia="de-DE"/>
    </w:rPr>
  </w:style>
  <w:style w:type="paragraph" w:styleId="Heading3">
    <w:name w:val="heading 3"/>
    <w:basedOn w:val="Normal"/>
    <w:next w:val="Normal"/>
    <w:link w:val="Heading3Char"/>
    <w:uiPriority w:val="99"/>
    <w:qFormat/>
    <w:rsid w:val="00774DCE"/>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43CC"/>
    <w:rPr>
      <w:rFonts w:ascii="Times New Roman" w:hAnsi="Times New Roman" w:cs="Times New Roman"/>
      <w:b/>
      <w:bCs/>
      <w:kern w:val="36"/>
      <w:sz w:val="48"/>
      <w:szCs w:val="48"/>
      <w:lang w:val="de-DE" w:eastAsia="de-DE"/>
    </w:rPr>
  </w:style>
  <w:style w:type="character" w:customStyle="1" w:styleId="Heading2Char">
    <w:name w:val="Heading 2 Char"/>
    <w:basedOn w:val="DefaultParagraphFont"/>
    <w:link w:val="Heading2"/>
    <w:uiPriority w:val="99"/>
    <w:locked/>
    <w:rsid w:val="00FF43CC"/>
    <w:rPr>
      <w:rFonts w:ascii="Times New Roman" w:hAnsi="Times New Roman" w:cs="Times New Roman"/>
      <w:b/>
      <w:bCs/>
      <w:sz w:val="36"/>
      <w:szCs w:val="36"/>
      <w:lang w:val="de-DE" w:eastAsia="de-DE"/>
    </w:rPr>
  </w:style>
  <w:style w:type="character" w:customStyle="1" w:styleId="Heading3Char">
    <w:name w:val="Heading 3 Char"/>
    <w:basedOn w:val="DefaultParagraphFont"/>
    <w:link w:val="Heading3"/>
    <w:uiPriority w:val="99"/>
    <w:locked/>
    <w:rsid w:val="00774DCE"/>
    <w:rPr>
      <w:rFonts w:ascii="Calibri Light" w:hAnsi="Calibri Light" w:cs="Times New Roman"/>
      <w:color w:val="1F4D78"/>
      <w:sz w:val="24"/>
      <w:szCs w:val="24"/>
    </w:rPr>
  </w:style>
  <w:style w:type="paragraph" w:styleId="BalloonText">
    <w:name w:val="Balloon Text"/>
    <w:basedOn w:val="Normal"/>
    <w:link w:val="BalloonTextChar"/>
    <w:uiPriority w:val="99"/>
    <w:semiHidden/>
    <w:rsid w:val="00F85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859B2"/>
    <w:rPr>
      <w:rFonts w:ascii="Segoe UI" w:hAnsi="Segoe UI" w:cs="Segoe UI"/>
      <w:sz w:val="18"/>
      <w:szCs w:val="18"/>
    </w:rPr>
  </w:style>
  <w:style w:type="character" w:customStyle="1" w:styleId="panchor1">
    <w:name w:val="panchor1"/>
    <w:basedOn w:val="DefaultParagraphFont"/>
    <w:uiPriority w:val="99"/>
    <w:rsid w:val="00FB01DC"/>
    <w:rPr>
      <w:rFonts w:ascii="Courier New" w:hAnsi="Courier New" w:cs="Courier New"/>
      <w:color w:val="0000FF"/>
      <w:sz w:val="22"/>
      <w:szCs w:val="22"/>
      <w:u w:val="single"/>
    </w:rPr>
  </w:style>
  <w:style w:type="character" w:customStyle="1" w:styleId="panchor">
    <w:name w:val="panchor"/>
    <w:basedOn w:val="DefaultParagraphFont"/>
    <w:uiPriority w:val="99"/>
    <w:rsid w:val="00041D4F"/>
    <w:rPr>
      <w:rFonts w:cs="Times New Roman"/>
    </w:rPr>
  </w:style>
  <w:style w:type="paragraph" w:styleId="ListParagraph">
    <w:name w:val="List Paragraph"/>
    <w:basedOn w:val="Normal"/>
    <w:uiPriority w:val="99"/>
    <w:qFormat/>
    <w:rsid w:val="00096507"/>
    <w:pPr>
      <w:ind w:left="720"/>
      <w:contextualSpacing/>
    </w:pPr>
  </w:style>
  <w:style w:type="character" w:styleId="Hyperlink">
    <w:name w:val="Hyperlink"/>
    <w:basedOn w:val="DefaultParagraphFont"/>
    <w:uiPriority w:val="99"/>
    <w:semiHidden/>
    <w:rsid w:val="00FF43CC"/>
    <w:rPr>
      <w:rFonts w:cs="Times New Roman"/>
      <w:color w:val="0000FF"/>
      <w:u w:val="single"/>
    </w:rPr>
  </w:style>
  <w:style w:type="character" w:customStyle="1" w:styleId="sursa">
    <w:name w:val="sursa"/>
    <w:basedOn w:val="DefaultParagraphFont"/>
    <w:uiPriority w:val="99"/>
    <w:rsid w:val="00FF43CC"/>
    <w:rPr>
      <w:rFonts w:cs="Times New Roman"/>
    </w:rPr>
  </w:style>
  <w:style w:type="character" w:customStyle="1" w:styleId="data">
    <w:name w:val="data"/>
    <w:basedOn w:val="DefaultParagraphFont"/>
    <w:uiPriority w:val="99"/>
    <w:rsid w:val="00FF43CC"/>
    <w:rPr>
      <w:rFonts w:cs="Times New Roman"/>
    </w:rPr>
  </w:style>
  <w:style w:type="character" w:customStyle="1" w:styleId="categoria">
    <w:name w:val="categoria"/>
    <w:basedOn w:val="DefaultParagraphFont"/>
    <w:uiPriority w:val="99"/>
    <w:rsid w:val="00FF43CC"/>
    <w:rPr>
      <w:rFonts w:cs="Times New Roman"/>
    </w:rPr>
  </w:style>
  <w:style w:type="character" w:styleId="Strong">
    <w:name w:val="Strong"/>
    <w:basedOn w:val="DefaultParagraphFont"/>
    <w:uiPriority w:val="99"/>
    <w:qFormat/>
    <w:rsid w:val="00FF43CC"/>
    <w:rPr>
      <w:rFonts w:cs="Times New Roman"/>
      <w:b/>
      <w:bCs/>
    </w:rPr>
  </w:style>
  <w:style w:type="character" w:styleId="Emphasis">
    <w:name w:val="Emphasis"/>
    <w:basedOn w:val="DefaultParagraphFont"/>
    <w:uiPriority w:val="99"/>
    <w:qFormat/>
    <w:rsid w:val="00FF43CC"/>
    <w:rPr>
      <w:rFonts w:cs="Times New Roman"/>
      <w:i/>
      <w:iCs/>
    </w:rPr>
  </w:style>
</w:styles>
</file>

<file path=word/webSettings.xml><?xml version="1.0" encoding="utf-8"?>
<w:webSettings xmlns:r="http://schemas.openxmlformats.org/officeDocument/2006/relationships" xmlns:w="http://schemas.openxmlformats.org/wordprocessingml/2006/main">
  <w:divs>
    <w:div w:id="1568803419">
      <w:marLeft w:val="0"/>
      <w:marRight w:val="0"/>
      <w:marTop w:val="0"/>
      <w:marBottom w:val="0"/>
      <w:divBdr>
        <w:top w:val="none" w:sz="0" w:space="0" w:color="auto"/>
        <w:left w:val="none" w:sz="0" w:space="0" w:color="auto"/>
        <w:bottom w:val="none" w:sz="0" w:space="0" w:color="auto"/>
        <w:right w:val="none" w:sz="0" w:space="0" w:color="auto"/>
      </w:divBdr>
      <w:divsChild>
        <w:div w:id="1568803426">
          <w:marLeft w:val="0"/>
          <w:marRight w:val="0"/>
          <w:marTop w:val="0"/>
          <w:marBottom w:val="0"/>
          <w:divBdr>
            <w:top w:val="none" w:sz="0" w:space="0" w:color="auto"/>
            <w:left w:val="none" w:sz="0" w:space="0" w:color="auto"/>
            <w:bottom w:val="none" w:sz="0" w:space="0" w:color="auto"/>
            <w:right w:val="none" w:sz="0" w:space="0" w:color="auto"/>
          </w:divBdr>
        </w:div>
      </w:divsChild>
    </w:div>
    <w:div w:id="1568803423">
      <w:marLeft w:val="0"/>
      <w:marRight w:val="0"/>
      <w:marTop w:val="0"/>
      <w:marBottom w:val="0"/>
      <w:divBdr>
        <w:top w:val="none" w:sz="0" w:space="0" w:color="auto"/>
        <w:left w:val="none" w:sz="0" w:space="0" w:color="auto"/>
        <w:bottom w:val="none" w:sz="0" w:space="0" w:color="auto"/>
        <w:right w:val="none" w:sz="0" w:space="0" w:color="auto"/>
      </w:divBdr>
      <w:divsChild>
        <w:div w:id="1568803432">
          <w:marLeft w:val="0"/>
          <w:marRight w:val="0"/>
          <w:marTop w:val="0"/>
          <w:marBottom w:val="0"/>
          <w:divBdr>
            <w:top w:val="none" w:sz="0" w:space="0" w:color="auto"/>
            <w:left w:val="none" w:sz="0" w:space="0" w:color="auto"/>
            <w:bottom w:val="none" w:sz="0" w:space="0" w:color="auto"/>
            <w:right w:val="none" w:sz="0" w:space="0" w:color="auto"/>
          </w:divBdr>
        </w:div>
      </w:divsChild>
    </w:div>
    <w:div w:id="1568803425">
      <w:marLeft w:val="0"/>
      <w:marRight w:val="0"/>
      <w:marTop w:val="0"/>
      <w:marBottom w:val="0"/>
      <w:divBdr>
        <w:top w:val="none" w:sz="0" w:space="0" w:color="auto"/>
        <w:left w:val="none" w:sz="0" w:space="0" w:color="auto"/>
        <w:bottom w:val="none" w:sz="0" w:space="0" w:color="auto"/>
        <w:right w:val="none" w:sz="0" w:space="0" w:color="auto"/>
      </w:divBdr>
    </w:div>
    <w:div w:id="1568803434">
      <w:marLeft w:val="0"/>
      <w:marRight w:val="0"/>
      <w:marTop w:val="0"/>
      <w:marBottom w:val="0"/>
      <w:divBdr>
        <w:top w:val="none" w:sz="0" w:space="0" w:color="auto"/>
        <w:left w:val="none" w:sz="0" w:space="0" w:color="auto"/>
        <w:bottom w:val="none" w:sz="0" w:space="0" w:color="auto"/>
        <w:right w:val="none" w:sz="0" w:space="0" w:color="auto"/>
      </w:divBdr>
    </w:div>
    <w:div w:id="1568803435">
      <w:marLeft w:val="0"/>
      <w:marRight w:val="0"/>
      <w:marTop w:val="0"/>
      <w:marBottom w:val="0"/>
      <w:divBdr>
        <w:top w:val="none" w:sz="0" w:space="0" w:color="auto"/>
        <w:left w:val="none" w:sz="0" w:space="0" w:color="auto"/>
        <w:bottom w:val="none" w:sz="0" w:space="0" w:color="auto"/>
        <w:right w:val="none" w:sz="0" w:space="0" w:color="auto"/>
      </w:divBdr>
      <w:divsChild>
        <w:div w:id="1568803410">
          <w:marLeft w:val="0"/>
          <w:marRight w:val="0"/>
          <w:marTop w:val="0"/>
          <w:marBottom w:val="0"/>
          <w:divBdr>
            <w:top w:val="none" w:sz="0" w:space="0" w:color="auto"/>
            <w:left w:val="none" w:sz="0" w:space="0" w:color="auto"/>
            <w:bottom w:val="none" w:sz="0" w:space="0" w:color="auto"/>
            <w:right w:val="none" w:sz="0" w:space="0" w:color="auto"/>
          </w:divBdr>
          <w:divsChild>
            <w:div w:id="1568803413">
              <w:marLeft w:val="0"/>
              <w:marRight w:val="0"/>
              <w:marTop w:val="0"/>
              <w:marBottom w:val="0"/>
              <w:divBdr>
                <w:top w:val="none" w:sz="0" w:space="0" w:color="auto"/>
                <w:left w:val="none" w:sz="0" w:space="0" w:color="auto"/>
                <w:bottom w:val="none" w:sz="0" w:space="0" w:color="auto"/>
                <w:right w:val="none" w:sz="0" w:space="0" w:color="auto"/>
              </w:divBdr>
            </w:div>
          </w:divsChild>
        </w:div>
        <w:div w:id="1568803414">
          <w:marLeft w:val="0"/>
          <w:marRight w:val="0"/>
          <w:marTop w:val="0"/>
          <w:marBottom w:val="0"/>
          <w:divBdr>
            <w:top w:val="none" w:sz="0" w:space="0" w:color="auto"/>
            <w:left w:val="none" w:sz="0" w:space="0" w:color="auto"/>
            <w:bottom w:val="none" w:sz="0" w:space="0" w:color="auto"/>
            <w:right w:val="none" w:sz="0" w:space="0" w:color="auto"/>
          </w:divBdr>
          <w:divsChild>
            <w:div w:id="1568803415">
              <w:marLeft w:val="0"/>
              <w:marRight w:val="0"/>
              <w:marTop w:val="0"/>
              <w:marBottom w:val="0"/>
              <w:divBdr>
                <w:top w:val="none" w:sz="0" w:space="0" w:color="auto"/>
                <w:left w:val="none" w:sz="0" w:space="0" w:color="auto"/>
                <w:bottom w:val="none" w:sz="0" w:space="0" w:color="auto"/>
                <w:right w:val="none" w:sz="0" w:space="0" w:color="auto"/>
              </w:divBdr>
            </w:div>
            <w:div w:id="1568803418">
              <w:marLeft w:val="285"/>
              <w:marRight w:val="0"/>
              <w:marTop w:val="0"/>
              <w:marBottom w:val="75"/>
              <w:divBdr>
                <w:top w:val="none" w:sz="0" w:space="0" w:color="auto"/>
                <w:left w:val="none" w:sz="0" w:space="0" w:color="auto"/>
                <w:bottom w:val="none" w:sz="0" w:space="0" w:color="auto"/>
                <w:right w:val="none" w:sz="0" w:space="0" w:color="auto"/>
              </w:divBdr>
              <w:divsChild>
                <w:div w:id="1568803409">
                  <w:marLeft w:val="0"/>
                  <w:marRight w:val="0"/>
                  <w:marTop w:val="0"/>
                  <w:marBottom w:val="0"/>
                  <w:divBdr>
                    <w:top w:val="none" w:sz="0" w:space="0" w:color="auto"/>
                    <w:left w:val="none" w:sz="0" w:space="0" w:color="auto"/>
                    <w:bottom w:val="none" w:sz="0" w:space="0" w:color="auto"/>
                    <w:right w:val="none" w:sz="0" w:space="0" w:color="auto"/>
                  </w:divBdr>
                  <w:divsChild>
                    <w:div w:id="1568803421">
                      <w:marLeft w:val="0"/>
                      <w:marRight w:val="0"/>
                      <w:marTop w:val="0"/>
                      <w:marBottom w:val="0"/>
                      <w:divBdr>
                        <w:top w:val="none" w:sz="0" w:space="0" w:color="auto"/>
                        <w:left w:val="none" w:sz="0" w:space="0" w:color="auto"/>
                        <w:bottom w:val="none" w:sz="0" w:space="0" w:color="auto"/>
                        <w:right w:val="none" w:sz="0" w:space="0" w:color="auto"/>
                      </w:divBdr>
                    </w:div>
                    <w:div w:id="1568803446">
                      <w:marLeft w:val="0"/>
                      <w:marRight w:val="0"/>
                      <w:marTop w:val="0"/>
                      <w:marBottom w:val="0"/>
                      <w:divBdr>
                        <w:top w:val="none" w:sz="0" w:space="0" w:color="auto"/>
                        <w:left w:val="none" w:sz="0" w:space="0" w:color="auto"/>
                        <w:bottom w:val="none" w:sz="0" w:space="0" w:color="auto"/>
                        <w:right w:val="none" w:sz="0" w:space="0" w:color="auto"/>
                      </w:divBdr>
                    </w:div>
                    <w:div w:id="15688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3442">
              <w:marLeft w:val="0"/>
              <w:marRight w:val="0"/>
              <w:marTop w:val="0"/>
              <w:marBottom w:val="0"/>
              <w:divBdr>
                <w:top w:val="none" w:sz="0" w:space="0" w:color="auto"/>
                <w:left w:val="none" w:sz="0" w:space="0" w:color="auto"/>
                <w:bottom w:val="none" w:sz="0" w:space="0" w:color="auto"/>
                <w:right w:val="none" w:sz="0" w:space="0" w:color="auto"/>
              </w:divBdr>
            </w:div>
            <w:div w:id="1568803448">
              <w:marLeft w:val="0"/>
              <w:marRight w:val="0"/>
              <w:marTop w:val="0"/>
              <w:marBottom w:val="0"/>
              <w:divBdr>
                <w:top w:val="none" w:sz="0" w:space="0" w:color="auto"/>
                <w:left w:val="none" w:sz="0" w:space="0" w:color="auto"/>
                <w:bottom w:val="none" w:sz="0" w:space="0" w:color="auto"/>
                <w:right w:val="none" w:sz="0" w:space="0" w:color="auto"/>
              </w:divBdr>
            </w:div>
          </w:divsChild>
        </w:div>
        <w:div w:id="1568803429">
          <w:marLeft w:val="0"/>
          <w:marRight w:val="0"/>
          <w:marTop w:val="0"/>
          <w:marBottom w:val="0"/>
          <w:divBdr>
            <w:top w:val="none" w:sz="0" w:space="0" w:color="auto"/>
            <w:left w:val="none" w:sz="0" w:space="0" w:color="auto"/>
            <w:bottom w:val="none" w:sz="0" w:space="0" w:color="auto"/>
            <w:right w:val="none" w:sz="0" w:space="0" w:color="auto"/>
          </w:divBdr>
        </w:div>
        <w:div w:id="1568803431">
          <w:marLeft w:val="0"/>
          <w:marRight w:val="0"/>
          <w:marTop w:val="0"/>
          <w:marBottom w:val="0"/>
          <w:divBdr>
            <w:top w:val="none" w:sz="0" w:space="0" w:color="auto"/>
            <w:left w:val="none" w:sz="0" w:space="0" w:color="auto"/>
            <w:bottom w:val="none" w:sz="0" w:space="0" w:color="auto"/>
            <w:right w:val="none" w:sz="0" w:space="0" w:color="auto"/>
          </w:divBdr>
        </w:div>
        <w:div w:id="1568803433">
          <w:marLeft w:val="0"/>
          <w:marRight w:val="0"/>
          <w:marTop w:val="0"/>
          <w:marBottom w:val="0"/>
          <w:divBdr>
            <w:top w:val="none" w:sz="0" w:space="0" w:color="auto"/>
            <w:left w:val="none" w:sz="0" w:space="0" w:color="auto"/>
            <w:bottom w:val="none" w:sz="0" w:space="0" w:color="auto"/>
            <w:right w:val="none" w:sz="0" w:space="0" w:color="auto"/>
          </w:divBdr>
          <w:divsChild>
            <w:div w:id="1568803430">
              <w:marLeft w:val="0"/>
              <w:marRight w:val="0"/>
              <w:marTop w:val="0"/>
              <w:marBottom w:val="0"/>
              <w:divBdr>
                <w:top w:val="single" w:sz="6" w:space="11" w:color="0000FF"/>
                <w:left w:val="single" w:sz="6" w:space="11" w:color="0000FF"/>
                <w:bottom w:val="single" w:sz="6" w:space="11" w:color="0000FF"/>
                <w:right w:val="single" w:sz="6" w:space="11" w:color="0000FF"/>
              </w:divBdr>
              <w:divsChild>
                <w:div w:id="1568803424">
                  <w:marLeft w:val="285"/>
                  <w:marRight w:val="0"/>
                  <w:marTop w:val="0"/>
                  <w:marBottom w:val="75"/>
                  <w:divBdr>
                    <w:top w:val="none" w:sz="0" w:space="0" w:color="auto"/>
                    <w:left w:val="none" w:sz="0" w:space="0" w:color="auto"/>
                    <w:bottom w:val="none" w:sz="0" w:space="0" w:color="auto"/>
                    <w:right w:val="none" w:sz="0" w:space="0" w:color="auto"/>
                  </w:divBdr>
                  <w:divsChild>
                    <w:div w:id="1568803436">
                      <w:marLeft w:val="0"/>
                      <w:marRight w:val="0"/>
                      <w:marTop w:val="0"/>
                      <w:marBottom w:val="0"/>
                      <w:divBdr>
                        <w:top w:val="none" w:sz="0" w:space="0" w:color="auto"/>
                        <w:left w:val="none" w:sz="0" w:space="0" w:color="auto"/>
                        <w:bottom w:val="none" w:sz="0" w:space="0" w:color="auto"/>
                        <w:right w:val="none" w:sz="0" w:space="0" w:color="auto"/>
                      </w:divBdr>
                      <w:divsChild>
                        <w:div w:id="15688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3450">
          <w:marLeft w:val="0"/>
          <w:marRight w:val="0"/>
          <w:marTop w:val="0"/>
          <w:marBottom w:val="0"/>
          <w:divBdr>
            <w:top w:val="none" w:sz="0" w:space="0" w:color="auto"/>
            <w:left w:val="none" w:sz="0" w:space="0" w:color="auto"/>
            <w:bottom w:val="none" w:sz="0" w:space="0" w:color="auto"/>
            <w:right w:val="none" w:sz="0" w:space="0" w:color="auto"/>
          </w:divBdr>
        </w:div>
      </w:divsChild>
    </w:div>
    <w:div w:id="1568803452">
      <w:marLeft w:val="0"/>
      <w:marRight w:val="0"/>
      <w:marTop w:val="0"/>
      <w:marBottom w:val="0"/>
      <w:divBdr>
        <w:top w:val="none" w:sz="0" w:space="0" w:color="auto"/>
        <w:left w:val="none" w:sz="0" w:space="0" w:color="auto"/>
        <w:bottom w:val="none" w:sz="0" w:space="0" w:color="auto"/>
        <w:right w:val="none" w:sz="0" w:space="0" w:color="auto"/>
      </w:divBdr>
      <w:divsChild>
        <w:div w:id="1568803422">
          <w:marLeft w:val="0"/>
          <w:marRight w:val="0"/>
          <w:marTop w:val="0"/>
          <w:marBottom w:val="0"/>
          <w:divBdr>
            <w:top w:val="none" w:sz="0" w:space="0" w:color="auto"/>
            <w:left w:val="none" w:sz="0" w:space="0" w:color="auto"/>
            <w:bottom w:val="none" w:sz="0" w:space="0" w:color="auto"/>
            <w:right w:val="none" w:sz="0" w:space="0" w:color="auto"/>
          </w:divBdr>
        </w:div>
        <w:div w:id="1568803443">
          <w:marLeft w:val="0"/>
          <w:marRight w:val="0"/>
          <w:marTop w:val="0"/>
          <w:marBottom w:val="0"/>
          <w:divBdr>
            <w:top w:val="none" w:sz="0" w:space="0" w:color="auto"/>
            <w:left w:val="none" w:sz="0" w:space="0" w:color="auto"/>
            <w:bottom w:val="none" w:sz="0" w:space="0" w:color="auto"/>
            <w:right w:val="none" w:sz="0" w:space="0" w:color="auto"/>
          </w:divBdr>
          <w:divsChild>
            <w:div w:id="1568803420">
              <w:marLeft w:val="0"/>
              <w:marRight w:val="0"/>
              <w:marTop w:val="0"/>
              <w:marBottom w:val="0"/>
              <w:divBdr>
                <w:top w:val="none" w:sz="0" w:space="0" w:color="auto"/>
                <w:left w:val="none" w:sz="0" w:space="0" w:color="auto"/>
                <w:bottom w:val="none" w:sz="0" w:space="0" w:color="auto"/>
                <w:right w:val="none" w:sz="0" w:space="0" w:color="auto"/>
              </w:divBdr>
            </w:div>
            <w:div w:id="1568803437">
              <w:marLeft w:val="285"/>
              <w:marRight w:val="0"/>
              <w:marTop w:val="0"/>
              <w:marBottom w:val="75"/>
              <w:divBdr>
                <w:top w:val="none" w:sz="0" w:space="0" w:color="auto"/>
                <w:left w:val="none" w:sz="0" w:space="0" w:color="auto"/>
                <w:bottom w:val="none" w:sz="0" w:space="0" w:color="auto"/>
                <w:right w:val="none" w:sz="0" w:space="0" w:color="auto"/>
              </w:divBdr>
              <w:divsChild>
                <w:div w:id="1568803416">
                  <w:marLeft w:val="0"/>
                  <w:marRight w:val="0"/>
                  <w:marTop w:val="0"/>
                  <w:marBottom w:val="0"/>
                  <w:divBdr>
                    <w:top w:val="none" w:sz="0" w:space="0" w:color="auto"/>
                    <w:left w:val="none" w:sz="0" w:space="0" w:color="auto"/>
                    <w:bottom w:val="none" w:sz="0" w:space="0" w:color="auto"/>
                    <w:right w:val="none" w:sz="0" w:space="0" w:color="auto"/>
                  </w:divBdr>
                  <w:divsChild>
                    <w:div w:id="1568803439">
                      <w:marLeft w:val="0"/>
                      <w:marRight w:val="0"/>
                      <w:marTop w:val="0"/>
                      <w:marBottom w:val="0"/>
                      <w:divBdr>
                        <w:top w:val="none" w:sz="0" w:space="0" w:color="auto"/>
                        <w:left w:val="none" w:sz="0" w:space="0" w:color="auto"/>
                        <w:bottom w:val="none" w:sz="0" w:space="0" w:color="auto"/>
                        <w:right w:val="none" w:sz="0" w:space="0" w:color="auto"/>
                      </w:divBdr>
                    </w:div>
                    <w:div w:id="1568803440">
                      <w:marLeft w:val="0"/>
                      <w:marRight w:val="0"/>
                      <w:marTop w:val="0"/>
                      <w:marBottom w:val="0"/>
                      <w:divBdr>
                        <w:top w:val="none" w:sz="0" w:space="0" w:color="auto"/>
                        <w:left w:val="none" w:sz="0" w:space="0" w:color="auto"/>
                        <w:bottom w:val="none" w:sz="0" w:space="0" w:color="auto"/>
                        <w:right w:val="none" w:sz="0" w:space="0" w:color="auto"/>
                      </w:divBdr>
                    </w:div>
                    <w:div w:id="15688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803438">
              <w:marLeft w:val="0"/>
              <w:marRight w:val="0"/>
              <w:marTop w:val="0"/>
              <w:marBottom w:val="0"/>
              <w:divBdr>
                <w:top w:val="none" w:sz="0" w:space="0" w:color="auto"/>
                <w:left w:val="none" w:sz="0" w:space="0" w:color="auto"/>
                <w:bottom w:val="none" w:sz="0" w:space="0" w:color="auto"/>
                <w:right w:val="none" w:sz="0" w:space="0" w:color="auto"/>
              </w:divBdr>
            </w:div>
            <w:div w:id="1568803451">
              <w:marLeft w:val="0"/>
              <w:marRight w:val="0"/>
              <w:marTop w:val="0"/>
              <w:marBottom w:val="0"/>
              <w:divBdr>
                <w:top w:val="none" w:sz="0" w:space="0" w:color="auto"/>
                <w:left w:val="none" w:sz="0" w:space="0" w:color="auto"/>
                <w:bottom w:val="none" w:sz="0" w:space="0" w:color="auto"/>
                <w:right w:val="none" w:sz="0" w:space="0" w:color="auto"/>
              </w:divBdr>
            </w:div>
          </w:divsChild>
        </w:div>
        <w:div w:id="1568803447">
          <w:marLeft w:val="0"/>
          <w:marRight w:val="0"/>
          <w:marTop w:val="0"/>
          <w:marBottom w:val="0"/>
          <w:divBdr>
            <w:top w:val="none" w:sz="0" w:space="0" w:color="auto"/>
            <w:left w:val="none" w:sz="0" w:space="0" w:color="auto"/>
            <w:bottom w:val="none" w:sz="0" w:space="0" w:color="auto"/>
            <w:right w:val="none" w:sz="0" w:space="0" w:color="auto"/>
          </w:divBdr>
        </w:div>
        <w:div w:id="1568803449">
          <w:marLeft w:val="0"/>
          <w:marRight w:val="0"/>
          <w:marTop w:val="0"/>
          <w:marBottom w:val="0"/>
          <w:divBdr>
            <w:top w:val="none" w:sz="0" w:space="0" w:color="auto"/>
            <w:left w:val="none" w:sz="0" w:space="0" w:color="auto"/>
            <w:bottom w:val="none" w:sz="0" w:space="0" w:color="auto"/>
            <w:right w:val="none" w:sz="0" w:space="0" w:color="auto"/>
          </w:divBdr>
          <w:divsChild>
            <w:div w:id="1568803457">
              <w:marLeft w:val="0"/>
              <w:marRight w:val="0"/>
              <w:marTop w:val="0"/>
              <w:marBottom w:val="0"/>
              <w:divBdr>
                <w:top w:val="none" w:sz="0" w:space="0" w:color="auto"/>
                <w:left w:val="none" w:sz="0" w:space="0" w:color="auto"/>
                <w:bottom w:val="none" w:sz="0" w:space="0" w:color="auto"/>
                <w:right w:val="none" w:sz="0" w:space="0" w:color="auto"/>
              </w:divBdr>
            </w:div>
          </w:divsChild>
        </w:div>
        <w:div w:id="1568803455">
          <w:marLeft w:val="0"/>
          <w:marRight w:val="0"/>
          <w:marTop w:val="0"/>
          <w:marBottom w:val="0"/>
          <w:divBdr>
            <w:top w:val="none" w:sz="0" w:space="0" w:color="auto"/>
            <w:left w:val="none" w:sz="0" w:space="0" w:color="auto"/>
            <w:bottom w:val="none" w:sz="0" w:space="0" w:color="auto"/>
            <w:right w:val="none" w:sz="0" w:space="0" w:color="auto"/>
          </w:divBdr>
          <w:divsChild>
            <w:div w:id="1568803445">
              <w:marLeft w:val="0"/>
              <w:marRight w:val="0"/>
              <w:marTop w:val="0"/>
              <w:marBottom w:val="0"/>
              <w:divBdr>
                <w:top w:val="single" w:sz="6" w:space="11" w:color="0000FF"/>
                <w:left w:val="single" w:sz="6" w:space="11" w:color="0000FF"/>
                <w:bottom w:val="single" w:sz="6" w:space="11" w:color="0000FF"/>
                <w:right w:val="single" w:sz="6" w:space="11" w:color="0000FF"/>
              </w:divBdr>
              <w:divsChild>
                <w:div w:id="1568803427">
                  <w:marLeft w:val="285"/>
                  <w:marRight w:val="0"/>
                  <w:marTop w:val="0"/>
                  <w:marBottom w:val="75"/>
                  <w:divBdr>
                    <w:top w:val="none" w:sz="0" w:space="0" w:color="auto"/>
                    <w:left w:val="none" w:sz="0" w:space="0" w:color="auto"/>
                    <w:bottom w:val="none" w:sz="0" w:space="0" w:color="auto"/>
                    <w:right w:val="none" w:sz="0" w:space="0" w:color="auto"/>
                  </w:divBdr>
                  <w:divsChild>
                    <w:div w:id="1568803408">
                      <w:marLeft w:val="0"/>
                      <w:marRight w:val="0"/>
                      <w:marTop w:val="0"/>
                      <w:marBottom w:val="0"/>
                      <w:divBdr>
                        <w:top w:val="none" w:sz="0" w:space="0" w:color="auto"/>
                        <w:left w:val="none" w:sz="0" w:space="0" w:color="auto"/>
                        <w:bottom w:val="none" w:sz="0" w:space="0" w:color="auto"/>
                        <w:right w:val="none" w:sz="0" w:space="0" w:color="auto"/>
                      </w:divBdr>
                      <w:divsChild>
                        <w:div w:id="156880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03456">
          <w:marLeft w:val="0"/>
          <w:marRight w:val="0"/>
          <w:marTop w:val="0"/>
          <w:marBottom w:val="0"/>
          <w:divBdr>
            <w:top w:val="none" w:sz="0" w:space="0" w:color="auto"/>
            <w:left w:val="none" w:sz="0" w:space="0" w:color="auto"/>
            <w:bottom w:val="none" w:sz="0" w:space="0" w:color="auto"/>
            <w:right w:val="none" w:sz="0" w:space="0" w:color="auto"/>
          </w:divBdr>
        </w:div>
      </w:divsChild>
    </w:div>
    <w:div w:id="1568803453">
      <w:marLeft w:val="0"/>
      <w:marRight w:val="0"/>
      <w:marTop w:val="0"/>
      <w:marBottom w:val="0"/>
      <w:divBdr>
        <w:top w:val="none" w:sz="0" w:space="0" w:color="auto"/>
        <w:left w:val="none" w:sz="0" w:space="0" w:color="auto"/>
        <w:bottom w:val="none" w:sz="0" w:space="0" w:color="auto"/>
        <w:right w:val="none" w:sz="0" w:space="0" w:color="auto"/>
      </w:divBdr>
      <w:divsChild>
        <w:div w:id="1568803417">
          <w:marLeft w:val="0"/>
          <w:marRight w:val="0"/>
          <w:marTop w:val="0"/>
          <w:marBottom w:val="0"/>
          <w:divBdr>
            <w:top w:val="none" w:sz="0" w:space="0" w:color="auto"/>
            <w:left w:val="none" w:sz="0" w:space="0" w:color="auto"/>
            <w:bottom w:val="none" w:sz="0" w:space="0" w:color="auto"/>
            <w:right w:val="none" w:sz="0" w:space="0" w:color="auto"/>
          </w:divBdr>
          <w:divsChild>
            <w:div w:id="1568803411">
              <w:marLeft w:val="0"/>
              <w:marRight w:val="0"/>
              <w:marTop w:val="0"/>
              <w:marBottom w:val="0"/>
              <w:divBdr>
                <w:top w:val="none" w:sz="0" w:space="0" w:color="auto"/>
                <w:left w:val="none" w:sz="0" w:space="0" w:color="auto"/>
                <w:bottom w:val="none" w:sz="0" w:space="0" w:color="auto"/>
                <w:right w:val="none" w:sz="0" w:space="0" w:color="auto"/>
              </w:divBdr>
            </w:div>
            <w:div w:id="1568803441">
              <w:marLeft w:val="0"/>
              <w:marRight w:val="0"/>
              <w:marTop w:val="0"/>
              <w:marBottom w:val="0"/>
              <w:divBdr>
                <w:top w:val="none" w:sz="0" w:space="0" w:color="auto"/>
                <w:left w:val="none" w:sz="0" w:space="0" w:color="auto"/>
                <w:bottom w:val="none" w:sz="0" w:space="0" w:color="auto"/>
                <w:right w:val="none" w:sz="0" w:space="0" w:color="auto"/>
              </w:divBdr>
            </w:div>
            <w:div w:id="1568803444">
              <w:marLeft w:val="0"/>
              <w:marRight w:val="0"/>
              <w:marTop w:val="0"/>
              <w:marBottom w:val="0"/>
              <w:divBdr>
                <w:top w:val="none" w:sz="0" w:space="0" w:color="auto"/>
                <w:left w:val="none" w:sz="0" w:space="0" w:color="auto"/>
                <w:bottom w:val="none" w:sz="0" w:space="0" w:color="auto"/>
                <w:right w:val="none" w:sz="0" w:space="0" w:color="auto"/>
              </w:divBdr>
            </w:div>
            <w:div w:id="15688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445</Words>
  <Characters>2540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GUVERNUL ROMÂNIEI </dc:title>
  <dc:subject/>
  <dc:creator>Dan Codescu</dc:creator>
  <cp:keywords/>
  <dc:description/>
  <cp:lastModifiedBy>imi</cp:lastModifiedBy>
  <cp:revision>2</cp:revision>
  <cp:lastPrinted>2018-01-31T14:19:00Z</cp:lastPrinted>
  <dcterms:created xsi:type="dcterms:W3CDTF">2018-02-28T10:41:00Z</dcterms:created>
  <dcterms:modified xsi:type="dcterms:W3CDTF">2018-02-28T10:41:00Z</dcterms:modified>
</cp:coreProperties>
</file>