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8E" w:rsidRPr="001C12BC" w:rsidRDefault="00150C8E" w:rsidP="00ED6942">
      <w:pPr>
        <w:jc w:val="center"/>
        <w:rPr>
          <w:b/>
          <w:bCs/>
          <w:noProof w:val="0"/>
        </w:rPr>
      </w:pPr>
    </w:p>
    <w:p w:rsidR="00150C8E" w:rsidRPr="001C12BC" w:rsidRDefault="00150C8E" w:rsidP="00ED6942">
      <w:pPr>
        <w:jc w:val="center"/>
        <w:rPr>
          <w:b/>
          <w:bCs/>
          <w:noProof w:val="0"/>
        </w:rPr>
      </w:pPr>
    </w:p>
    <w:p w:rsidR="00150C8E" w:rsidRPr="001C12BC" w:rsidRDefault="00150C8E" w:rsidP="00ED6942">
      <w:pPr>
        <w:jc w:val="center"/>
        <w:rPr>
          <w:b/>
          <w:bCs/>
          <w:noProof w:val="0"/>
        </w:rPr>
      </w:pPr>
      <w:r w:rsidRPr="001C12BC">
        <w:rPr>
          <w:b/>
          <w:bCs/>
          <w:noProof w:val="0"/>
        </w:rPr>
        <w:t>NOTĂ DE FUNDAMENTARE</w:t>
      </w:r>
    </w:p>
    <w:p w:rsidR="00150C8E" w:rsidRPr="001C12BC" w:rsidRDefault="00150C8E" w:rsidP="00ED6942">
      <w:pPr>
        <w:rPr>
          <w:b/>
          <w:bCs/>
        </w:rPr>
      </w:pPr>
    </w:p>
    <w:p w:rsidR="00150C8E" w:rsidRPr="001C12BC" w:rsidRDefault="00150C8E" w:rsidP="00ED6942">
      <w:pPr>
        <w:rPr>
          <w:b/>
          <w:bCs/>
        </w:rPr>
      </w:pPr>
    </w:p>
    <w:p w:rsidR="00150C8E" w:rsidRPr="001C12BC" w:rsidRDefault="00150C8E" w:rsidP="00ED6942">
      <w:pPr>
        <w:rPr>
          <w:b/>
          <w:bCs/>
        </w:rPr>
      </w:pPr>
    </w:p>
    <w:tbl>
      <w:tblPr>
        <w:tblW w:w="10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3706"/>
        <w:gridCol w:w="228"/>
        <w:gridCol w:w="11"/>
        <w:gridCol w:w="526"/>
        <w:gridCol w:w="313"/>
        <w:gridCol w:w="992"/>
        <w:gridCol w:w="1133"/>
        <w:gridCol w:w="1133"/>
        <w:gridCol w:w="1157"/>
        <w:gridCol w:w="1098"/>
      </w:tblGrid>
      <w:tr w:rsidR="00150C8E" w:rsidRPr="001C12BC">
        <w:tc>
          <w:tcPr>
            <w:tcW w:w="10302" w:type="dxa"/>
            <w:gridSpan w:val="11"/>
          </w:tcPr>
          <w:p w:rsidR="00150C8E" w:rsidRPr="001C12BC" w:rsidRDefault="00150C8E" w:rsidP="00ED6942">
            <w:pPr>
              <w:rPr>
                <w:b/>
                <w:bCs/>
              </w:rPr>
            </w:pPr>
          </w:p>
          <w:p w:rsidR="00150C8E" w:rsidRPr="001C12BC" w:rsidRDefault="00150C8E" w:rsidP="00ED6942">
            <w:pPr>
              <w:rPr>
                <w:b/>
                <w:bCs/>
              </w:rPr>
            </w:pPr>
          </w:p>
          <w:p w:rsidR="00150C8E" w:rsidRPr="001C12BC" w:rsidRDefault="00150C8E" w:rsidP="00ED6942">
            <w:pPr>
              <w:jc w:val="center"/>
              <w:rPr>
                <w:b/>
                <w:bCs/>
                <w:i/>
                <w:iCs/>
              </w:rPr>
            </w:pPr>
            <w:r w:rsidRPr="001C12BC">
              <w:rPr>
                <w:b/>
                <w:bCs/>
                <w:i/>
                <w:iCs/>
              </w:rPr>
              <w:t>Secţiunea 1</w:t>
            </w:r>
          </w:p>
          <w:p w:rsidR="00150C8E" w:rsidRPr="001C12BC" w:rsidRDefault="00150C8E" w:rsidP="00ED6942">
            <w:pPr>
              <w:jc w:val="center"/>
              <w:rPr>
                <w:b/>
                <w:bCs/>
                <w:i/>
                <w:iCs/>
              </w:rPr>
            </w:pPr>
            <w:r w:rsidRPr="001C12BC">
              <w:rPr>
                <w:b/>
                <w:bCs/>
                <w:i/>
                <w:iCs/>
              </w:rPr>
              <w:t>Titlul proiectului de act normativ</w:t>
            </w:r>
          </w:p>
          <w:p w:rsidR="00150C8E" w:rsidRPr="001C12BC" w:rsidRDefault="00150C8E" w:rsidP="00ED6942">
            <w:pPr>
              <w:jc w:val="center"/>
              <w:rPr>
                <w:noProof w:val="0"/>
                <w:sz w:val="28"/>
                <w:szCs w:val="28"/>
              </w:rPr>
            </w:pPr>
            <w:r w:rsidRPr="001C12BC">
              <w:rPr>
                <w:noProof w:val="0"/>
                <w:sz w:val="28"/>
                <w:szCs w:val="28"/>
              </w:rPr>
              <w:t>Ordonan</w:t>
            </w:r>
            <w:r w:rsidRPr="001C12BC">
              <w:rPr>
                <w:rFonts w:ascii="Tahoma" w:hAnsi="Tahoma" w:cs="Tahoma"/>
                <w:noProof w:val="0"/>
                <w:sz w:val="28"/>
                <w:szCs w:val="28"/>
              </w:rPr>
              <w:t>ț</w:t>
            </w:r>
            <w:r w:rsidRPr="001C12BC">
              <w:rPr>
                <w:noProof w:val="0"/>
                <w:sz w:val="28"/>
                <w:szCs w:val="28"/>
              </w:rPr>
              <w:t>a</w:t>
            </w:r>
          </w:p>
          <w:p w:rsidR="00150C8E" w:rsidRPr="001C12BC" w:rsidRDefault="00150C8E" w:rsidP="00B42C69">
            <w:pPr>
              <w:spacing w:after="160" w:line="259" w:lineRule="auto"/>
              <w:jc w:val="center"/>
              <w:rPr>
                <w:noProof w:val="0"/>
                <w:sz w:val="28"/>
                <w:szCs w:val="28"/>
              </w:rPr>
            </w:pPr>
            <w:r w:rsidRPr="001C12BC">
              <w:rPr>
                <w:noProof w:val="0"/>
                <w:sz w:val="28"/>
                <w:szCs w:val="28"/>
              </w:rPr>
              <w:t xml:space="preserve">pentru reglementarea unor măsuri fiscal-bugetare </w:t>
            </w:r>
            <w:r w:rsidRPr="001C12BC">
              <w:rPr>
                <w:rFonts w:ascii="Tahoma" w:hAnsi="Tahoma" w:cs="Tahoma"/>
                <w:noProof w:val="0"/>
                <w:sz w:val="28"/>
                <w:szCs w:val="28"/>
              </w:rPr>
              <w:t>ș</w:t>
            </w:r>
            <w:r w:rsidRPr="001C12BC">
              <w:rPr>
                <w:noProof w:val="0"/>
                <w:sz w:val="28"/>
                <w:szCs w:val="28"/>
              </w:rPr>
              <w:t xml:space="preserve">i modificarea </w:t>
            </w:r>
            <w:r w:rsidRPr="001C12BC">
              <w:rPr>
                <w:rFonts w:ascii="Tahoma" w:hAnsi="Tahoma" w:cs="Tahoma"/>
                <w:noProof w:val="0"/>
                <w:sz w:val="28"/>
                <w:szCs w:val="28"/>
              </w:rPr>
              <w:t>ș</w:t>
            </w:r>
            <w:r w:rsidRPr="001C12BC">
              <w:rPr>
                <w:noProof w:val="0"/>
                <w:sz w:val="28"/>
                <w:szCs w:val="28"/>
              </w:rPr>
              <w:t>i completarea unor acte normative</w:t>
            </w:r>
          </w:p>
          <w:p w:rsidR="00150C8E" w:rsidRPr="001C12BC" w:rsidRDefault="00150C8E" w:rsidP="00ED6942">
            <w:pPr>
              <w:jc w:val="center"/>
              <w:rPr>
                <w:b/>
                <w:bCs/>
              </w:rPr>
            </w:pPr>
          </w:p>
          <w:p w:rsidR="00150C8E" w:rsidRPr="001C12BC" w:rsidRDefault="00150C8E" w:rsidP="00B42C69">
            <w:pPr>
              <w:jc w:val="both"/>
              <w:rPr>
                <w:b/>
                <w:bCs/>
              </w:rPr>
            </w:pPr>
          </w:p>
        </w:tc>
      </w:tr>
      <w:tr w:rsidR="00150C8E" w:rsidRPr="001C12BC">
        <w:tc>
          <w:tcPr>
            <w:tcW w:w="10302" w:type="dxa"/>
            <w:gridSpan w:val="11"/>
          </w:tcPr>
          <w:p w:rsidR="00150C8E" w:rsidRPr="001C12BC" w:rsidRDefault="00150C8E" w:rsidP="00ED6942">
            <w:pPr>
              <w:rPr>
                <w:b/>
                <w:bCs/>
              </w:rPr>
            </w:pPr>
          </w:p>
          <w:p w:rsidR="00150C8E" w:rsidRPr="001C12BC" w:rsidRDefault="00150C8E" w:rsidP="00ED6942">
            <w:pPr>
              <w:rPr>
                <w:b/>
                <w:bCs/>
              </w:rPr>
            </w:pPr>
          </w:p>
          <w:p w:rsidR="00150C8E" w:rsidRPr="001C12BC" w:rsidRDefault="00150C8E" w:rsidP="00ED6942">
            <w:pPr>
              <w:jc w:val="center"/>
              <w:rPr>
                <w:b/>
                <w:bCs/>
                <w:i/>
                <w:iCs/>
              </w:rPr>
            </w:pPr>
            <w:r w:rsidRPr="001C12BC">
              <w:rPr>
                <w:b/>
                <w:bCs/>
                <w:i/>
                <w:iCs/>
              </w:rPr>
              <w:t>Secţiunea a 2-a</w:t>
            </w:r>
          </w:p>
          <w:p w:rsidR="00150C8E" w:rsidRPr="001C12BC" w:rsidRDefault="00150C8E" w:rsidP="00ED6942">
            <w:pPr>
              <w:jc w:val="center"/>
              <w:rPr>
                <w:b/>
                <w:bCs/>
                <w:i/>
                <w:iCs/>
              </w:rPr>
            </w:pPr>
            <w:r w:rsidRPr="001C12BC">
              <w:rPr>
                <w:b/>
                <w:bCs/>
                <w:i/>
                <w:iCs/>
              </w:rPr>
              <w:t>Motivul emiterii actului normativ</w:t>
            </w:r>
          </w:p>
          <w:p w:rsidR="00150C8E" w:rsidRPr="001C12BC" w:rsidRDefault="00150C8E" w:rsidP="00ED6942">
            <w:pPr>
              <w:jc w:val="center"/>
              <w:rPr>
                <w:b/>
                <w:bCs/>
              </w:rPr>
            </w:pPr>
          </w:p>
        </w:tc>
      </w:tr>
      <w:tr w:rsidR="00150C8E" w:rsidRPr="001C12BC">
        <w:tc>
          <w:tcPr>
            <w:tcW w:w="3708" w:type="dxa"/>
            <w:gridSpan w:val="2"/>
          </w:tcPr>
          <w:p w:rsidR="00150C8E" w:rsidRPr="001C12BC" w:rsidRDefault="00150C8E" w:rsidP="00ED6942">
            <w:pPr>
              <w:jc w:val="both"/>
            </w:pPr>
            <w:r w:rsidRPr="001C12BC">
              <w:t>1. Descrierea situaţiei actuale</w:t>
            </w:r>
          </w:p>
        </w:tc>
        <w:tc>
          <w:tcPr>
            <w:tcW w:w="6594" w:type="dxa"/>
            <w:gridSpan w:val="9"/>
          </w:tcPr>
          <w:p w:rsidR="00150C8E" w:rsidRPr="001C12BC" w:rsidRDefault="00150C8E" w:rsidP="00815CDA">
            <w:pPr>
              <w:suppressAutoHyphens/>
              <w:ind w:firstLine="537"/>
              <w:jc w:val="both"/>
              <w:rPr>
                <w:b/>
                <w:bCs/>
                <w:lang w:val="en-US"/>
              </w:rPr>
            </w:pPr>
            <w:r w:rsidRPr="001C12BC">
              <w:rPr>
                <w:b/>
                <w:bCs/>
                <w:lang w:val="en-US"/>
              </w:rPr>
              <w:t>Ordonanţa de urgenţă a Guvernului nr. 28/1999 privind obligaţia operatorilor economici de a utiliza aparate de marcat electronice fiscale</w:t>
            </w:r>
          </w:p>
          <w:p w:rsidR="00150C8E" w:rsidRPr="001C12BC" w:rsidRDefault="00150C8E" w:rsidP="00815CDA">
            <w:pPr>
              <w:suppressAutoHyphens/>
              <w:ind w:firstLine="537"/>
              <w:jc w:val="both"/>
              <w:rPr>
                <w:lang w:val="en-US"/>
              </w:rPr>
            </w:pPr>
            <w:r w:rsidRPr="001C12BC">
              <w:rPr>
                <w:lang w:val="en-US"/>
              </w:rPr>
              <w:t>Regimul utilizării aparatelor de marcat electronice fiscale este reglementat în prezent de prevederile Ordonanţei de urgenţă a Guvernului nr.28/1999 privind obligaţia operatorilor economici de a utiliza aparate de marcat electronice fiscale, republicată, cu modificările şi completările ulterioare şi de Normele metodologice pentru aplicarea Ordonanţei de urgenţă a Guvernului nr. 28/1999 privind obligaţia operatorilor economici de a utiliza aparate de marcat electronice fiscale, aprobate prin Hotărârea Guvernului nr.479/2003, republicată, cu modificările ulterioare.</w:t>
            </w:r>
          </w:p>
          <w:p w:rsidR="00150C8E" w:rsidRPr="001C12BC" w:rsidRDefault="00150C8E" w:rsidP="00815CDA">
            <w:pPr>
              <w:suppressAutoHyphens/>
              <w:ind w:firstLine="537"/>
              <w:jc w:val="both"/>
            </w:pPr>
            <w:r w:rsidRPr="001C12BC">
              <w:rPr>
                <w:lang w:val="en-US"/>
              </w:rPr>
              <w:t>Prin Ordonan</w:t>
            </w:r>
            <w:r w:rsidRPr="001C12BC">
              <w:rPr>
                <w:rFonts w:ascii="Tahoma" w:hAnsi="Tahoma" w:cs="Tahoma"/>
                <w:lang w:val="en-US"/>
              </w:rPr>
              <w:t>ț</w:t>
            </w:r>
            <w:r w:rsidRPr="001C12BC">
              <w:rPr>
                <w:lang w:val="en-US"/>
              </w:rPr>
              <w:t>a de urgen</w:t>
            </w:r>
            <w:r w:rsidRPr="001C12BC">
              <w:rPr>
                <w:rFonts w:ascii="Tahoma" w:hAnsi="Tahoma" w:cs="Tahoma"/>
                <w:lang w:val="en-US"/>
              </w:rPr>
              <w:t>ț</w:t>
            </w:r>
            <w:r w:rsidRPr="001C12BC">
              <w:rPr>
                <w:lang w:val="en-US"/>
              </w:rPr>
              <w:t xml:space="preserve">ă a Guvernului nr. 8/2015 </w:t>
            </w:r>
            <w:r w:rsidRPr="001C12BC">
              <w:t xml:space="preserve">pentru modificarea şi completarea unor acte normative, au fost introduse o serie de prevederi, care au permis aplicarea graduală a sancţiunilor, în funcţie de un prag de semnificaţie, scopul urmărit fiind acela de a oferi organelor de control instrumentele necesare pentru a  putea  circumstanţia sancţiunile pe care le aplică, astfel încât să nu apară interpretări eronate în aplicarea legii. </w:t>
            </w:r>
          </w:p>
          <w:p w:rsidR="00150C8E" w:rsidRDefault="00150C8E" w:rsidP="00815CDA">
            <w:pPr>
              <w:suppressAutoHyphens/>
              <w:ind w:firstLine="537"/>
              <w:jc w:val="both"/>
              <w:rPr>
                <w:lang w:val="en-US"/>
              </w:rPr>
            </w:pPr>
            <w:r w:rsidRPr="001C12BC">
              <w:t xml:space="preserve">După modificarea </w:t>
            </w:r>
            <w:r w:rsidRPr="001C12BC">
              <w:rPr>
                <w:lang w:val="en-US"/>
              </w:rPr>
              <w:t>Ordonanţei de urgenţă a Guvernului nr.28/1999 prin Ordonan</w:t>
            </w:r>
            <w:r w:rsidRPr="001C12BC">
              <w:rPr>
                <w:rFonts w:ascii="Tahoma" w:hAnsi="Tahoma" w:cs="Tahoma"/>
                <w:lang w:val="en-US"/>
              </w:rPr>
              <w:t>ț</w:t>
            </w:r>
            <w:r w:rsidRPr="001C12BC">
              <w:rPr>
                <w:lang w:val="en-US"/>
              </w:rPr>
              <w:t>a de urgen</w:t>
            </w:r>
            <w:r w:rsidRPr="001C12BC">
              <w:rPr>
                <w:rFonts w:ascii="Tahoma" w:hAnsi="Tahoma" w:cs="Tahoma"/>
                <w:lang w:val="en-US"/>
              </w:rPr>
              <w:t>ț</w:t>
            </w:r>
            <w:r w:rsidRPr="001C12BC">
              <w:rPr>
                <w:lang w:val="en-US"/>
              </w:rPr>
              <w:t>ă a Guvernului nr. 8/2015, au fost constatate dificultă</w:t>
            </w:r>
            <w:r w:rsidRPr="001C12BC">
              <w:rPr>
                <w:rFonts w:ascii="Tahoma" w:hAnsi="Tahoma" w:cs="Tahoma"/>
                <w:lang w:val="en-US"/>
              </w:rPr>
              <w:t>ț</w:t>
            </w:r>
            <w:r w:rsidRPr="001C12BC">
              <w:rPr>
                <w:lang w:val="en-US"/>
              </w:rPr>
              <w:t>i în ceea ce prive</w:t>
            </w:r>
            <w:r w:rsidRPr="001C12BC">
              <w:rPr>
                <w:rFonts w:ascii="Tahoma" w:hAnsi="Tahoma" w:cs="Tahoma"/>
                <w:lang w:val="en-US"/>
              </w:rPr>
              <w:t>ș</w:t>
            </w:r>
            <w:r w:rsidRPr="001C12BC">
              <w:rPr>
                <w:lang w:val="en-US"/>
              </w:rPr>
              <w:t>te aplicarea sanc</w:t>
            </w:r>
            <w:r w:rsidRPr="001C12BC">
              <w:rPr>
                <w:rFonts w:ascii="Tahoma" w:hAnsi="Tahoma" w:cs="Tahoma"/>
                <w:lang w:val="en-US"/>
              </w:rPr>
              <w:t>ț</w:t>
            </w:r>
            <w:r w:rsidRPr="001C12BC">
              <w:rPr>
                <w:lang w:val="en-US"/>
              </w:rPr>
              <w:t>iunilor contraven</w:t>
            </w:r>
            <w:r w:rsidRPr="001C12BC">
              <w:rPr>
                <w:rFonts w:ascii="Tahoma" w:hAnsi="Tahoma" w:cs="Tahoma"/>
                <w:lang w:val="en-US"/>
              </w:rPr>
              <w:t>ț</w:t>
            </w:r>
            <w:r w:rsidRPr="001C12BC">
              <w:rPr>
                <w:lang w:val="en-US"/>
              </w:rPr>
              <w:t>ionale</w:t>
            </w:r>
            <w:r>
              <w:rPr>
                <w:lang w:val="en-US"/>
              </w:rPr>
              <w:t xml:space="preserve"> rezultate din practica neunitară a instan</w:t>
            </w:r>
            <w:r>
              <w:rPr>
                <w:rFonts w:ascii="Tahoma" w:hAnsi="Tahoma" w:cs="Tahoma"/>
                <w:lang w:val="en-US"/>
              </w:rPr>
              <w:t>ț</w:t>
            </w:r>
            <w:r>
              <w:rPr>
                <w:lang w:val="en-US"/>
              </w:rPr>
              <w:t>elor de judecată</w:t>
            </w:r>
            <w:r w:rsidRPr="001C12BC">
              <w:rPr>
                <w:lang w:val="en-US"/>
              </w:rPr>
              <w:t xml:space="preserve">. Astfel, spre exemplu, </w:t>
            </w:r>
            <w:r>
              <w:rPr>
                <w:lang w:val="en-US"/>
              </w:rPr>
              <w:t xml:space="preserve">au existat cazuri, în care </w:t>
            </w:r>
            <w:r w:rsidRPr="001C12BC">
              <w:rPr>
                <w:lang w:val="en-US"/>
              </w:rPr>
              <w:t>instan</w:t>
            </w:r>
            <w:r w:rsidRPr="001C12BC">
              <w:rPr>
                <w:rFonts w:ascii="Tahoma" w:hAnsi="Tahoma" w:cs="Tahoma"/>
                <w:lang w:val="en-US"/>
              </w:rPr>
              <w:t>ț</w:t>
            </w:r>
            <w:r w:rsidRPr="001C12BC">
              <w:rPr>
                <w:lang w:val="en-US"/>
              </w:rPr>
              <w:t>ele de judecată, au statuat în jurispruden</w:t>
            </w:r>
            <w:r w:rsidRPr="001C12BC">
              <w:rPr>
                <w:rFonts w:ascii="Tahoma" w:hAnsi="Tahoma" w:cs="Tahoma"/>
                <w:lang w:val="en-US"/>
              </w:rPr>
              <w:t>ț</w:t>
            </w:r>
            <w:r w:rsidRPr="001C12BC">
              <w:rPr>
                <w:lang w:val="en-US"/>
              </w:rPr>
              <w:t xml:space="preserve">a lor, că </w:t>
            </w:r>
            <w:r>
              <w:rPr>
                <w:lang w:val="en-US"/>
              </w:rPr>
              <w:t>nu există</w:t>
            </w:r>
            <w:r w:rsidRPr="001C12BC">
              <w:rPr>
                <w:lang w:val="en-US"/>
              </w:rPr>
              <w:t xml:space="preserve"> un concurs de contraven</w:t>
            </w:r>
            <w:r w:rsidRPr="001C12BC">
              <w:rPr>
                <w:rFonts w:ascii="Tahoma" w:hAnsi="Tahoma" w:cs="Tahoma"/>
                <w:lang w:val="en-US"/>
              </w:rPr>
              <w:t>ț</w:t>
            </w:r>
            <w:r w:rsidRPr="001C12BC">
              <w:rPr>
                <w:lang w:val="en-US"/>
              </w:rPr>
              <w:t xml:space="preserve">ii ( art. 10 lit. c </w:t>
            </w:r>
            <w:r w:rsidRPr="001C12BC">
              <w:rPr>
                <w:rFonts w:ascii="Tahoma" w:hAnsi="Tahoma" w:cs="Tahoma"/>
                <w:lang w:val="en-US"/>
              </w:rPr>
              <w:t>ș</w:t>
            </w:r>
            <w:r w:rsidRPr="001C12BC">
              <w:rPr>
                <w:lang w:val="en-US"/>
              </w:rPr>
              <w:t xml:space="preserve">i gg) </w:t>
            </w:r>
            <w:r>
              <w:rPr>
                <w:lang w:val="en-US"/>
              </w:rPr>
              <w:t>, suma nejustificată de</w:t>
            </w:r>
            <w:r>
              <w:rPr>
                <w:rFonts w:ascii="Tahoma" w:hAnsi="Tahoma" w:cs="Tahoma"/>
                <w:lang w:val="en-US"/>
              </w:rPr>
              <w:t>ț</w:t>
            </w:r>
            <w:r>
              <w:rPr>
                <w:lang w:val="en-US"/>
              </w:rPr>
              <w:t>inută fiind proba materială a săvâr</w:t>
            </w:r>
            <w:r>
              <w:rPr>
                <w:rFonts w:ascii="Tahoma" w:hAnsi="Tahoma" w:cs="Tahoma"/>
                <w:lang w:val="en-US"/>
              </w:rPr>
              <w:t>ș</w:t>
            </w:r>
            <w:r>
              <w:rPr>
                <w:lang w:val="en-US"/>
              </w:rPr>
              <w:t>irii contraven</w:t>
            </w:r>
            <w:r>
              <w:rPr>
                <w:rFonts w:ascii="Tahoma" w:hAnsi="Tahoma" w:cs="Tahoma"/>
                <w:lang w:val="en-US"/>
              </w:rPr>
              <w:t>ț</w:t>
            </w:r>
            <w:r>
              <w:rPr>
                <w:lang w:val="en-US"/>
              </w:rPr>
              <w:t xml:space="preserve">iei de la lit.c), </w:t>
            </w:r>
            <w:r w:rsidRPr="001C12BC">
              <w:rPr>
                <w:lang w:val="en-US"/>
              </w:rPr>
              <w:t xml:space="preserve">în realitate fiind vorba despre o singură faptă, pentru care </w:t>
            </w:r>
            <w:r>
              <w:rPr>
                <w:lang w:val="en-US"/>
              </w:rPr>
              <w:t xml:space="preserve">se poate </w:t>
            </w:r>
            <w:r w:rsidRPr="001C12BC">
              <w:rPr>
                <w:lang w:val="en-US"/>
              </w:rPr>
              <w:t xml:space="preserve"> aplica</w:t>
            </w:r>
            <w:r>
              <w:rPr>
                <w:lang w:val="en-US"/>
              </w:rPr>
              <w:t xml:space="preserve"> numai o sanc</w:t>
            </w:r>
            <w:r>
              <w:rPr>
                <w:rFonts w:ascii="Tahoma" w:hAnsi="Tahoma" w:cs="Tahoma"/>
                <w:lang w:val="en-US"/>
              </w:rPr>
              <w:t>ț</w:t>
            </w:r>
            <w:r>
              <w:rPr>
                <w:lang w:val="en-US"/>
              </w:rPr>
              <w:t>iune contraven</w:t>
            </w:r>
            <w:r>
              <w:rPr>
                <w:rFonts w:ascii="Tahoma" w:hAnsi="Tahoma" w:cs="Tahoma"/>
                <w:lang w:val="en-US"/>
              </w:rPr>
              <w:t>ț</w:t>
            </w:r>
            <w:r>
              <w:rPr>
                <w:lang w:val="en-US"/>
              </w:rPr>
              <w:t xml:space="preserve">ională principală </w:t>
            </w:r>
            <w:r>
              <w:rPr>
                <w:rFonts w:ascii="Tahoma" w:hAnsi="Tahoma" w:cs="Tahoma"/>
                <w:lang w:val="en-US"/>
              </w:rPr>
              <w:t>ș</w:t>
            </w:r>
            <w:r>
              <w:rPr>
                <w:lang w:val="en-US"/>
              </w:rPr>
              <w:t>i una sau mai multe sanc</w:t>
            </w:r>
            <w:r>
              <w:rPr>
                <w:rFonts w:ascii="Tahoma" w:hAnsi="Tahoma" w:cs="Tahoma"/>
                <w:lang w:val="en-US"/>
              </w:rPr>
              <w:t>ț</w:t>
            </w:r>
            <w:r>
              <w:rPr>
                <w:lang w:val="en-US"/>
              </w:rPr>
              <w:t>iuni complementare</w:t>
            </w:r>
            <w:r w:rsidRPr="001C12BC">
              <w:rPr>
                <w:lang w:val="en-US"/>
              </w:rPr>
              <w:t>.</w:t>
            </w:r>
          </w:p>
          <w:p w:rsidR="00150C8E" w:rsidRPr="001C12BC" w:rsidRDefault="00150C8E" w:rsidP="00815CDA">
            <w:pPr>
              <w:suppressAutoHyphens/>
              <w:ind w:firstLine="537"/>
              <w:jc w:val="both"/>
            </w:pPr>
          </w:p>
          <w:p w:rsidR="00150C8E" w:rsidRPr="001C12BC" w:rsidRDefault="00150C8E" w:rsidP="00815CDA">
            <w:pPr>
              <w:suppressAutoHyphens/>
              <w:jc w:val="both"/>
              <w:rPr>
                <w:lang w:val="en-US"/>
              </w:rPr>
            </w:pPr>
            <w:r w:rsidRPr="001C12BC">
              <w:rPr>
                <w:lang w:val="en-US"/>
              </w:rPr>
              <w:t xml:space="preserve">       </w:t>
            </w:r>
            <w:r w:rsidRPr="001C12BC">
              <w:rPr>
                <w:b/>
                <w:bCs/>
                <w:lang w:val="en-US"/>
              </w:rPr>
              <w:t>Ordonanţa de urgenţă a Guvernului nr. 91/2014 pentru modificarea şi completarea Ordonanţei de urgenţă a Guvernului nr. 28/1999 privind obligaţia operatorilor economici de a utiliza aparate de marcat electronice fiscale</w:t>
            </w:r>
            <w:r w:rsidRPr="001C12BC">
              <w:rPr>
                <w:lang w:val="en-US"/>
              </w:rPr>
              <w:t>, este actul normativ prin care au fost realizate ultimele modificări substan</w:t>
            </w:r>
            <w:r w:rsidRPr="001C12BC">
              <w:rPr>
                <w:rFonts w:ascii="Tahoma" w:hAnsi="Tahoma" w:cs="Tahoma"/>
                <w:lang w:val="en-US"/>
              </w:rPr>
              <w:t>ț</w:t>
            </w:r>
            <w:r w:rsidRPr="001C12BC">
              <w:rPr>
                <w:lang w:val="en-US"/>
              </w:rPr>
              <w:t xml:space="preserve">iale ale actului normativ de bază </w:t>
            </w:r>
            <w:r w:rsidRPr="001C12BC">
              <w:rPr>
                <w:rFonts w:ascii="Tahoma" w:hAnsi="Tahoma" w:cs="Tahoma"/>
                <w:lang w:val="en-US"/>
              </w:rPr>
              <w:t>ș</w:t>
            </w:r>
            <w:r w:rsidRPr="001C12BC">
              <w:rPr>
                <w:lang w:val="en-US"/>
              </w:rPr>
              <w:t>i care vizează, în principal,  înlocuirea etapizată a aparatelor de marcat electronice fiscale dotate cu role jurnal pe suport de hârtie cu cele echipate cu jurnal electronic, astfel încât utilizatorii să poată achizi</w:t>
            </w:r>
            <w:r w:rsidRPr="001C12BC">
              <w:rPr>
                <w:rFonts w:ascii="Tahoma" w:hAnsi="Tahoma" w:cs="Tahoma"/>
                <w:lang w:val="en-US"/>
              </w:rPr>
              <w:t>ț</w:t>
            </w:r>
            <w:r w:rsidRPr="001C12BC">
              <w:rPr>
                <w:lang w:val="en-US"/>
              </w:rPr>
              <w:t>iona treptat</w:t>
            </w:r>
          </w:p>
          <w:p w:rsidR="00150C8E" w:rsidRPr="001C12BC" w:rsidRDefault="00150C8E" w:rsidP="00DA09DC">
            <w:pPr>
              <w:suppressAutoHyphens/>
              <w:jc w:val="both"/>
              <w:rPr>
                <w:lang w:val="en-US"/>
              </w:rPr>
            </w:pPr>
            <w:r w:rsidRPr="001C12BC">
              <w:rPr>
                <w:lang w:val="en-US"/>
              </w:rPr>
              <w:t>noile aparate, fără perturbarea activită</w:t>
            </w:r>
            <w:r w:rsidRPr="001C12BC">
              <w:rPr>
                <w:rFonts w:ascii="Tahoma" w:hAnsi="Tahoma" w:cs="Tahoma"/>
                <w:lang w:val="en-US"/>
              </w:rPr>
              <w:t>ț</w:t>
            </w:r>
            <w:r w:rsidRPr="001C12BC">
              <w:rPr>
                <w:lang w:val="en-US"/>
              </w:rPr>
              <w:t xml:space="preserve">ii comerciale </w:t>
            </w:r>
            <w:r w:rsidRPr="001C12BC">
              <w:rPr>
                <w:rFonts w:ascii="Tahoma" w:hAnsi="Tahoma" w:cs="Tahoma"/>
                <w:lang w:val="en-US"/>
              </w:rPr>
              <w:t>ș</w:t>
            </w:r>
            <w:r w:rsidRPr="001C12BC">
              <w:rPr>
                <w:lang w:val="en-US"/>
              </w:rPr>
              <w:t xml:space="preserve">i fără pierderi financiare, iar importatorii </w:t>
            </w:r>
            <w:r w:rsidRPr="001C12BC">
              <w:rPr>
                <w:rFonts w:ascii="Tahoma" w:hAnsi="Tahoma" w:cs="Tahoma"/>
                <w:lang w:val="en-US"/>
              </w:rPr>
              <w:t>ș</w:t>
            </w:r>
            <w:r w:rsidRPr="001C12BC">
              <w:rPr>
                <w:lang w:val="en-US"/>
              </w:rPr>
              <w:t>i distribuitorii de aparate de marcat să aibă la dispozi</w:t>
            </w:r>
            <w:r w:rsidRPr="001C12BC">
              <w:rPr>
                <w:rFonts w:ascii="Tahoma" w:hAnsi="Tahoma" w:cs="Tahoma"/>
                <w:lang w:val="en-US"/>
              </w:rPr>
              <w:t>ț</w:t>
            </w:r>
            <w:r w:rsidRPr="001C12BC">
              <w:rPr>
                <w:lang w:val="en-US"/>
              </w:rPr>
              <w:t>ie un interval de timp suficient pentru a-</w:t>
            </w:r>
            <w:r w:rsidRPr="001C12BC">
              <w:rPr>
                <w:rFonts w:ascii="Tahoma" w:hAnsi="Tahoma" w:cs="Tahoma"/>
                <w:lang w:val="en-US"/>
              </w:rPr>
              <w:t>ș</w:t>
            </w:r>
            <w:r w:rsidRPr="001C12BC">
              <w:rPr>
                <w:lang w:val="en-US"/>
              </w:rPr>
              <w:t xml:space="preserve">i lichida stocurile de modele vechi </w:t>
            </w:r>
            <w:r w:rsidRPr="001C12BC">
              <w:rPr>
                <w:rFonts w:ascii="Tahoma" w:hAnsi="Tahoma" w:cs="Tahoma"/>
                <w:lang w:val="en-US"/>
              </w:rPr>
              <w:t>ș</w:t>
            </w:r>
            <w:r w:rsidRPr="001C12BC">
              <w:rPr>
                <w:lang w:val="en-US"/>
              </w:rPr>
              <w:t>i pentru a ob</w:t>
            </w:r>
            <w:r w:rsidRPr="001C12BC">
              <w:rPr>
                <w:rFonts w:ascii="Tahoma" w:hAnsi="Tahoma" w:cs="Tahoma"/>
                <w:lang w:val="en-US"/>
              </w:rPr>
              <w:t>ț</w:t>
            </w:r>
            <w:r w:rsidRPr="001C12BC">
              <w:rPr>
                <w:lang w:val="en-US"/>
              </w:rPr>
              <w:t xml:space="preserve">ine avizul tehnic favorabil </w:t>
            </w:r>
            <w:r w:rsidRPr="001C12BC">
              <w:rPr>
                <w:rFonts w:ascii="Tahoma" w:hAnsi="Tahoma" w:cs="Tahoma"/>
                <w:lang w:val="en-US"/>
              </w:rPr>
              <w:t>ș</w:t>
            </w:r>
            <w:r w:rsidRPr="001C12BC">
              <w:rPr>
                <w:lang w:val="en-US"/>
              </w:rPr>
              <w:t>i autoriza</w:t>
            </w:r>
            <w:r w:rsidRPr="001C12BC">
              <w:rPr>
                <w:rFonts w:ascii="Tahoma" w:hAnsi="Tahoma" w:cs="Tahoma"/>
                <w:lang w:val="en-US"/>
              </w:rPr>
              <w:t>ț</w:t>
            </w:r>
            <w:r w:rsidRPr="001C12BC">
              <w:rPr>
                <w:lang w:val="en-US"/>
              </w:rPr>
              <w:t>ia de distribu</w:t>
            </w:r>
            <w:r w:rsidRPr="001C12BC">
              <w:rPr>
                <w:rFonts w:ascii="Tahoma" w:hAnsi="Tahoma" w:cs="Tahoma"/>
                <w:lang w:val="en-US"/>
              </w:rPr>
              <w:t>ț</w:t>
            </w:r>
            <w:r w:rsidRPr="001C12BC">
              <w:rPr>
                <w:lang w:val="en-US"/>
              </w:rPr>
              <w:t>ie pentru noile modele.</w:t>
            </w:r>
          </w:p>
          <w:p w:rsidR="00150C8E" w:rsidRPr="001C12BC" w:rsidRDefault="00150C8E" w:rsidP="0029749E">
            <w:pPr>
              <w:autoSpaceDE w:val="0"/>
              <w:autoSpaceDN w:val="0"/>
              <w:adjustRightInd w:val="0"/>
              <w:jc w:val="both"/>
              <w:rPr>
                <w:lang w:val="en-US"/>
              </w:rPr>
            </w:pPr>
            <w:r w:rsidRPr="001C12BC">
              <w:rPr>
                <w:lang w:val="en-US"/>
              </w:rPr>
              <w:t xml:space="preserve">       De asemenea, prin dispozi</w:t>
            </w:r>
            <w:r w:rsidRPr="001C12BC">
              <w:rPr>
                <w:rFonts w:ascii="Tahoma" w:hAnsi="Tahoma" w:cs="Tahoma"/>
                <w:lang w:val="en-US"/>
              </w:rPr>
              <w:t>ț</w:t>
            </w:r>
            <w:r w:rsidRPr="001C12BC">
              <w:rPr>
                <w:lang w:val="en-US"/>
              </w:rPr>
              <w:t>iile Ordonan</w:t>
            </w:r>
            <w:r w:rsidRPr="001C12BC">
              <w:rPr>
                <w:rFonts w:ascii="Tahoma" w:hAnsi="Tahoma" w:cs="Tahoma"/>
                <w:lang w:val="en-US"/>
              </w:rPr>
              <w:t>ț</w:t>
            </w:r>
            <w:r w:rsidRPr="001C12BC">
              <w:rPr>
                <w:lang w:val="en-US"/>
              </w:rPr>
              <w:t>ei de urgen</w:t>
            </w:r>
            <w:r w:rsidRPr="001C12BC">
              <w:rPr>
                <w:rFonts w:ascii="Tahoma" w:hAnsi="Tahoma" w:cs="Tahoma"/>
                <w:lang w:val="en-US"/>
              </w:rPr>
              <w:t>ț</w:t>
            </w:r>
            <w:r w:rsidRPr="001C12BC">
              <w:rPr>
                <w:lang w:val="en-US"/>
              </w:rPr>
              <w:t xml:space="preserve">ă a Guvernului nr. 91/2014 s-au instituit o serie de termene </w:t>
            </w:r>
            <w:r w:rsidRPr="001C12BC">
              <w:rPr>
                <w:rFonts w:ascii="Tahoma" w:hAnsi="Tahoma" w:cs="Tahoma"/>
                <w:lang w:val="en-US"/>
              </w:rPr>
              <w:t>ș</w:t>
            </w:r>
            <w:r w:rsidRPr="001C12BC">
              <w:rPr>
                <w:lang w:val="en-US"/>
              </w:rPr>
              <w:t>i institu</w:t>
            </w:r>
            <w:r w:rsidRPr="001C12BC">
              <w:rPr>
                <w:rFonts w:ascii="Tahoma" w:hAnsi="Tahoma" w:cs="Tahoma"/>
                <w:lang w:val="en-US"/>
              </w:rPr>
              <w:t>ț</w:t>
            </w:r>
            <w:r w:rsidRPr="001C12BC">
              <w:rPr>
                <w:lang w:val="en-US"/>
              </w:rPr>
              <w:t xml:space="preserve">ii responsabile, pentru implementarea noilor aparate de marcat electronice fiscale dotate cu jurnal electronic, precum </w:t>
            </w:r>
            <w:r w:rsidRPr="001C12BC">
              <w:rPr>
                <w:rFonts w:ascii="Tahoma" w:hAnsi="Tahoma" w:cs="Tahoma"/>
                <w:lang w:val="en-US"/>
              </w:rPr>
              <w:t>ș</w:t>
            </w:r>
            <w:r w:rsidRPr="001C12BC">
              <w:rPr>
                <w:lang w:val="en-US"/>
              </w:rPr>
              <w:t>i pentru elaborarea legisla</w:t>
            </w:r>
            <w:r w:rsidRPr="001C12BC">
              <w:rPr>
                <w:rFonts w:ascii="Tahoma" w:hAnsi="Tahoma" w:cs="Tahoma"/>
                <w:lang w:val="en-US"/>
              </w:rPr>
              <w:t>ț</w:t>
            </w:r>
            <w:r w:rsidRPr="001C12BC">
              <w:rPr>
                <w:lang w:val="en-US"/>
              </w:rPr>
              <w:t>iei subsecvente, termene care  au fost prorogate succesiv prin Ordonan</w:t>
            </w:r>
            <w:r w:rsidRPr="001C12BC">
              <w:rPr>
                <w:rFonts w:ascii="Tahoma" w:hAnsi="Tahoma" w:cs="Tahoma"/>
                <w:lang w:val="en-US"/>
              </w:rPr>
              <w:t>ț</w:t>
            </w:r>
            <w:r w:rsidRPr="001C12BC">
              <w:rPr>
                <w:lang w:val="en-US"/>
              </w:rPr>
              <w:t xml:space="preserve">a Guvernului nr.17/2015 privind reglementarea unor măsuri fiscal-bugetare </w:t>
            </w:r>
            <w:r w:rsidRPr="001C12BC">
              <w:rPr>
                <w:rFonts w:ascii="Tahoma" w:hAnsi="Tahoma" w:cs="Tahoma"/>
                <w:lang w:val="en-US"/>
              </w:rPr>
              <w:t>ș</w:t>
            </w:r>
            <w:r w:rsidRPr="001C12BC">
              <w:rPr>
                <w:lang w:val="en-US"/>
              </w:rPr>
              <w:t xml:space="preserve">i modificarea </w:t>
            </w:r>
            <w:r w:rsidRPr="001C12BC">
              <w:rPr>
                <w:rFonts w:ascii="Tahoma" w:hAnsi="Tahoma" w:cs="Tahoma"/>
                <w:lang w:val="en-US"/>
              </w:rPr>
              <w:t>ș</w:t>
            </w:r>
            <w:r w:rsidRPr="001C12BC">
              <w:rPr>
                <w:lang w:val="en-US"/>
              </w:rPr>
              <w:t>i completarea unor acte normative, Ordonan</w:t>
            </w:r>
            <w:r w:rsidRPr="001C12BC">
              <w:rPr>
                <w:rFonts w:ascii="Tahoma" w:hAnsi="Tahoma" w:cs="Tahoma"/>
                <w:lang w:val="en-US"/>
              </w:rPr>
              <w:t>ț</w:t>
            </w:r>
            <w:r w:rsidRPr="001C12BC">
              <w:rPr>
                <w:lang w:val="en-US"/>
              </w:rPr>
              <w:t>a de urgen</w:t>
            </w:r>
            <w:r w:rsidRPr="001C12BC">
              <w:rPr>
                <w:rFonts w:ascii="Tahoma" w:hAnsi="Tahoma" w:cs="Tahoma"/>
                <w:lang w:val="en-US"/>
              </w:rPr>
              <w:t>ț</w:t>
            </w:r>
            <w:r w:rsidRPr="001C12BC">
              <w:rPr>
                <w:lang w:val="en-US"/>
              </w:rPr>
              <w:t xml:space="preserve">ă a Guvernului nr. 57/2015 privind salarizarea personalului plătit din fonduri publice în anul 2016, prorogarea unor termene, precum </w:t>
            </w:r>
            <w:r w:rsidRPr="001C12BC">
              <w:rPr>
                <w:rFonts w:ascii="Tahoma" w:hAnsi="Tahoma" w:cs="Tahoma"/>
                <w:lang w:val="en-US"/>
              </w:rPr>
              <w:t>ș</w:t>
            </w:r>
            <w:r w:rsidRPr="001C12BC">
              <w:rPr>
                <w:lang w:val="en-US"/>
              </w:rPr>
              <w:t>i unele măsuri fiscal-bugetare, respectiv prin Ordonan</w:t>
            </w:r>
            <w:r w:rsidRPr="001C12BC">
              <w:rPr>
                <w:rFonts w:ascii="Tahoma" w:hAnsi="Tahoma" w:cs="Tahoma"/>
                <w:lang w:val="en-US"/>
              </w:rPr>
              <w:t>ț</w:t>
            </w:r>
            <w:r w:rsidRPr="001C12BC">
              <w:rPr>
                <w:lang w:val="en-US"/>
              </w:rPr>
              <w:t>a de urgen</w:t>
            </w:r>
            <w:r w:rsidRPr="001C12BC">
              <w:rPr>
                <w:rFonts w:ascii="Tahoma" w:hAnsi="Tahoma" w:cs="Tahoma"/>
                <w:lang w:val="en-US"/>
              </w:rPr>
              <w:t>ț</w:t>
            </w:r>
            <w:r w:rsidRPr="001C12BC">
              <w:rPr>
                <w:lang w:val="en-US"/>
              </w:rPr>
              <w:t>ă a Guvernului nr.98/2016 pentru prorogarea unor termene, instituirea unor noi termene, privind unele măsuri pentru finalizarea activităţilor cuprinse în contractele încheiate în cadrul Acordului de împrumut dintre România şi Banca Internaţională pentru Reconstrucţie şi Dezvoltare pentru finanţarea Proiectului privind reforma sistemului judiciar, semnat la Bucureşti la 27 ianuarie 2006, ratificat prin Legea nr. 205/2006, precum şi pentru modificarea şi completarea unor acte normative, în prezent acestea fiind :</w:t>
            </w:r>
          </w:p>
          <w:p w:rsidR="00150C8E" w:rsidRPr="001C12BC" w:rsidRDefault="00150C8E" w:rsidP="0029749E">
            <w:pPr>
              <w:pStyle w:val="ListParagraph"/>
              <w:numPr>
                <w:ilvl w:val="0"/>
                <w:numId w:val="12"/>
              </w:numPr>
              <w:autoSpaceDE w:val="0"/>
              <w:autoSpaceDN w:val="0"/>
              <w:adjustRightInd w:val="0"/>
              <w:ind w:left="4" w:firstLine="283"/>
              <w:jc w:val="both"/>
              <w:rPr>
                <w:lang w:val="en-US"/>
              </w:rPr>
            </w:pPr>
            <w:r w:rsidRPr="001C12BC">
              <w:rPr>
                <w:lang w:val="en-US"/>
              </w:rPr>
              <w:t>până la data de 31 martie 2017, Ministerul Finan</w:t>
            </w:r>
            <w:r w:rsidRPr="001C12BC">
              <w:rPr>
                <w:rFonts w:ascii="Tahoma" w:hAnsi="Tahoma" w:cs="Tahoma"/>
                <w:lang w:val="en-US"/>
              </w:rPr>
              <w:t>ț</w:t>
            </w:r>
            <w:r w:rsidRPr="001C12BC">
              <w:rPr>
                <w:lang w:val="en-US"/>
              </w:rPr>
              <w:t xml:space="preserve">elor Publice modifică </w:t>
            </w:r>
            <w:r w:rsidRPr="001C12BC">
              <w:rPr>
                <w:rFonts w:ascii="Tahoma" w:hAnsi="Tahoma" w:cs="Tahoma"/>
                <w:lang w:val="en-US"/>
              </w:rPr>
              <w:t>ș</w:t>
            </w:r>
            <w:r w:rsidRPr="001C12BC">
              <w:rPr>
                <w:lang w:val="en-US"/>
              </w:rPr>
              <w:t>i completează în mod corespunzător prevederile Normelor metodologice de aplicare a Ordonan</w:t>
            </w:r>
            <w:r w:rsidRPr="001C12BC">
              <w:rPr>
                <w:rFonts w:ascii="Tahoma" w:hAnsi="Tahoma" w:cs="Tahoma"/>
                <w:lang w:val="en-US"/>
              </w:rPr>
              <w:t>ț</w:t>
            </w:r>
            <w:r w:rsidRPr="001C12BC">
              <w:rPr>
                <w:lang w:val="en-US"/>
              </w:rPr>
              <w:t>ei de urgen</w:t>
            </w:r>
            <w:r w:rsidRPr="001C12BC">
              <w:rPr>
                <w:rFonts w:ascii="Tahoma" w:hAnsi="Tahoma" w:cs="Tahoma"/>
                <w:lang w:val="en-US"/>
              </w:rPr>
              <w:t>ț</w:t>
            </w:r>
            <w:r w:rsidRPr="001C12BC">
              <w:rPr>
                <w:lang w:val="en-US"/>
              </w:rPr>
              <w:t>ă a Guvernului nr. 28/1999, aprobate prin Hotărârea Guvernului nr. 479/2003, republicată, cu modificările ulterioare;</w:t>
            </w:r>
          </w:p>
          <w:p w:rsidR="00150C8E" w:rsidRPr="001C12BC" w:rsidRDefault="00150C8E" w:rsidP="0029749E">
            <w:pPr>
              <w:pStyle w:val="ListParagraph"/>
              <w:numPr>
                <w:ilvl w:val="0"/>
                <w:numId w:val="12"/>
              </w:numPr>
              <w:autoSpaceDE w:val="0"/>
              <w:autoSpaceDN w:val="0"/>
              <w:adjustRightInd w:val="0"/>
              <w:ind w:left="4" w:firstLine="283"/>
              <w:jc w:val="both"/>
              <w:rPr>
                <w:lang w:val="en-US"/>
              </w:rPr>
            </w:pPr>
            <w:r w:rsidRPr="001C12BC">
              <w:rPr>
                <w:lang w:val="en-US"/>
              </w:rPr>
              <w:t>până la data de 31 martie 2017, prin ordin comun al ministrului finan</w:t>
            </w:r>
            <w:r w:rsidRPr="001C12BC">
              <w:rPr>
                <w:rFonts w:ascii="Tahoma" w:hAnsi="Tahoma" w:cs="Tahoma"/>
                <w:lang w:val="en-US"/>
              </w:rPr>
              <w:t>ț</w:t>
            </w:r>
            <w:r w:rsidRPr="001C12BC">
              <w:rPr>
                <w:lang w:val="en-US"/>
              </w:rPr>
              <w:t xml:space="preserve">elor publice </w:t>
            </w:r>
            <w:r w:rsidRPr="001C12BC">
              <w:rPr>
                <w:rFonts w:ascii="Tahoma" w:hAnsi="Tahoma" w:cs="Tahoma"/>
                <w:lang w:val="en-US"/>
              </w:rPr>
              <w:t>ș</w:t>
            </w:r>
            <w:r w:rsidRPr="001C12BC">
              <w:rPr>
                <w:lang w:val="en-US"/>
              </w:rPr>
              <w:t>i al ministrului comunica</w:t>
            </w:r>
            <w:r w:rsidRPr="001C12BC">
              <w:rPr>
                <w:rFonts w:ascii="Tahoma" w:hAnsi="Tahoma" w:cs="Tahoma"/>
                <w:lang w:val="en-US"/>
              </w:rPr>
              <w:t>ț</w:t>
            </w:r>
            <w:r w:rsidRPr="001C12BC">
              <w:rPr>
                <w:lang w:val="en-US"/>
              </w:rPr>
              <w:t xml:space="preserve">iilor </w:t>
            </w:r>
            <w:r w:rsidRPr="001C12BC">
              <w:rPr>
                <w:rFonts w:ascii="Tahoma" w:hAnsi="Tahoma" w:cs="Tahoma"/>
                <w:lang w:val="en-US"/>
              </w:rPr>
              <w:t>ș</w:t>
            </w:r>
            <w:r w:rsidRPr="001C12BC">
              <w:rPr>
                <w:lang w:val="en-US"/>
              </w:rPr>
              <w:t>i pentru societatea informa</w:t>
            </w:r>
            <w:r w:rsidRPr="001C12BC">
              <w:rPr>
                <w:rFonts w:ascii="Tahoma" w:hAnsi="Tahoma" w:cs="Tahoma"/>
                <w:lang w:val="en-US"/>
              </w:rPr>
              <w:t>ț</w:t>
            </w:r>
            <w:r w:rsidRPr="001C12BC">
              <w:rPr>
                <w:lang w:val="en-US"/>
              </w:rPr>
              <w:t>ională, se aprobă procedura de avizare tehnică a modelelor de aparate de marcat electronice fiscale cu jurnal electronic;</w:t>
            </w:r>
          </w:p>
          <w:p w:rsidR="00150C8E" w:rsidRPr="001C12BC" w:rsidRDefault="00150C8E" w:rsidP="0029749E">
            <w:pPr>
              <w:pStyle w:val="ListParagraph"/>
              <w:numPr>
                <w:ilvl w:val="0"/>
                <w:numId w:val="12"/>
              </w:numPr>
              <w:autoSpaceDE w:val="0"/>
              <w:autoSpaceDN w:val="0"/>
              <w:adjustRightInd w:val="0"/>
              <w:ind w:left="4" w:firstLine="283"/>
              <w:jc w:val="both"/>
              <w:rPr>
                <w:lang w:val="en-US"/>
              </w:rPr>
            </w:pPr>
            <w:r w:rsidRPr="001C12BC">
              <w:rPr>
                <w:lang w:val="en-US"/>
              </w:rPr>
              <w:t>până la data de 31 martie 2017, prin ordin al pre</w:t>
            </w:r>
            <w:r w:rsidRPr="001C12BC">
              <w:rPr>
                <w:rFonts w:ascii="Tahoma" w:hAnsi="Tahoma" w:cs="Tahoma"/>
                <w:lang w:val="en-US"/>
              </w:rPr>
              <w:t>ș</w:t>
            </w:r>
            <w:r w:rsidRPr="001C12BC">
              <w:rPr>
                <w:lang w:val="en-US"/>
              </w:rPr>
              <w:t>edintelui Agen</w:t>
            </w:r>
            <w:r w:rsidRPr="001C12BC">
              <w:rPr>
                <w:rFonts w:ascii="Tahoma" w:hAnsi="Tahoma" w:cs="Tahoma"/>
                <w:lang w:val="en-US"/>
              </w:rPr>
              <w:t>ț</w:t>
            </w:r>
            <w:r w:rsidRPr="001C12BC">
              <w:rPr>
                <w:lang w:val="en-US"/>
              </w:rPr>
              <w:t>iei Na</w:t>
            </w:r>
            <w:r w:rsidRPr="001C12BC">
              <w:rPr>
                <w:rFonts w:ascii="Tahoma" w:hAnsi="Tahoma" w:cs="Tahoma"/>
                <w:lang w:val="en-US"/>
              </w:rPr>
              <w:t>ț</w:t>
            </w:r>
            <w:r w:rsidRPr="001C12BC">
              <w:rPr>
                <w:lang w:val="en-US"/>
              </w:rPr>
              <w:t>ionale de Administrare Fiscală, se aprobă informa</w:t>
            </w:r>
            <w:r w:rsidRPr="001C12BC">
              <w:rPr>
                <w:rFonts w:ascii="Tahoma" w:hAnsi="Tahoma" w:cs="Tahoma"/>
                <w:lang w:val="en-US"/>
              </w:rPr>
              <w:t>ț</w:t>
            </w:r>
            <w:r w:rsidRPr="001C12BC">
              <w:rPr>
                <w:lang w:val="en-US"/>
              </w:rPr>
              <w:t>iile con</w:t>
            </w:r>
            <w:r w:rsidRPr="001C12BC">
              <w:rPr>
                <w:rFonts w:ascii="Tahoma" w:hAnsi="Tahoma" w:cs="Tahoma"/>
                <w:lang w:val="en-US"/>
              </w:rPr>
              <w:t>ț</w:t>
            </w:r>
            <w:r w:rsidRPr="001C12BC">
              <w:rPr>
                <w:lang w:val="en-US"/>
              </w:rPr>
              <w:t>inute în registrul na</w:t>
            </w:r>
            <w:r w:rsidRPr="001C12BC">
              <w:rPr>
                <w:rFonts w:ascii="Tahoma" w:hAnsi="Tahoma" w:cs="Tahoma"/>
                <w:lang w:val="en-US"/>
              </w:rPr>
              <w:t>ț</w:t>
            </w:r>
            <w:r w:rsidRPr="001C12BC">
              <w:rPr>
                <w:lang w:val="en-US"/>
              </w:rPr>
              <w:t>ional de eviden</w:t>
            </w:r>
            <w:r w:rsidRPr="001C12BC">
              <w:rPr>
                <w:rFonts w:ascii="Tahoma" w:hAnsi="Tahoma" w:cs="Tahoma"/>
                <w:lang w:val="en-US"/>
              </w:rPr>
              <w:t>ț</w:t>
            </w:r>
            <w:r w:rsidRPr="001C12BC">
              <w:rPr>
                <w:lang w:val="en-US"/>
              </w:rPr>
              <w:t>ă a aparatelor de marcat electronice fiscale instalate în jude</w:t>
            </w:r>
            <w:r w:rsidRPr="001C12BC">
              <w:rPr>
                <w:rFonts w:ascii="Tahoma" w:hAnsi="Tahoma" w:cs="Tahoma"/>
                <w:lang w:val="en-US"/>
              </w:rPr>
              <w:t>ț</w:t>
            </w:r>
            <w:r w:rsidRPr="001C12BC">
              <w:rPr>
                <w:lang w:val="en-US"/>
              </w:rPr>
              <w:t xml:space="preserve">e </w:t>
            </w:r>
            <w:r w:rsidRPr="001C12BC">
              <w:rPr>
                <w:rFonts w:ascii="Tahoma" w:hAnsi="Tahoma" w:cs="Tahoma"/>
                <w:lang w:val="en-US"/>
              </w:rPr>
              <w:t>ș</w:t>
            </w:r>
            <w:r w:rsidRPr="001C12BC">
              <w:rPr>
                <w:lang w:val="en-US"/>
              </w:rPr>
              <w:t>i în sectoarele municipiului Bucure</w:t>
            </w:r>
            <w:r w:rsidRPr="001C12BC">
              <w:rPr>
                <w:rFonts w:ascii="Tahoma" w:hAnsi="Tahoma" w:cs="Tahoma"/>
                <w:lang w:val="en-US"/>
              </w:rPr>
              <w:t>ș</w:t>
            </w:r>
            <w:r w:rsidRPr="001C12BC">
              <w:rPr>
                <w:lang w:val="en-US"/>
              </w:rPr>
              <w:t xml:space="preserve">ti, după caz, precum </w:t>
            </w:r>
            <w:r w:rsidRPr="001C12BC">
              <w:rPr>
                <w:rFonts w:ascii="Tahoma" w:hAnsi="Tahoma" w:cs="Tahoma"/>
                <w:lang w:val="en-US"/>
              </w:rPr>
              <w:t>ș</w:t>
            </w:r>
            <w:r w:rsidRPr="001C12BC">
              <w:rPr>
                <w:lang w:val="en-US"/>
              </w:rPr>
              <w:t xml:space="preserve">i metodologia </w:t>
            </w:r>
            <w:r w:rsidRPr="001C12BC">
              <w:rPr>
                <w:rFonts w:ascii="Tahoma" w:hAnsi="Tahoma" w:cs="Tahoma"/>
                <w:lang w:val="en-US"/>
              </w:rPr>
              <w:t>ș</w:t>
            </w:r>
            <w:r w:rsidRPr="001C12BC">
              <w:rPr>
                <w:lang w:val="en-US"/>
              </w:rPr>
              <w:t>i procedura de înregistrare a acestora;</w:t>
            </w:r>
          </w:p>
          <w:p w:rsidR="00150C8E" w:rsidRPr="001C12BC" w:rsidRDefault="00150C8E" w:rsidP="0029749E">
            <w:pPr>
              <w:pStyle w:val="ListParagraph"/>
              <w:numPr>
                <w:ilvl w:val="0"/>
                <w:numId w:val="12"/>
              </w:numPr>
              <w:autoSpaceDE w:val="0"/>
              <w:autoSpaceDN w:val="0"/>
              <w:adjustRightInd w:val="0"/>
              <w:ind w:left="4" w:firstLine="283"/>
              <w:jc w:val="both"/>
              <w:rPr>
                <w:lang w:val="en-US"/>
              </w:rPr>
            </w:pPr>
            <w:r w:rsidRPr="001C12BC">
              <w:rPr>
                <w:lang w:val="en-US"/>
              </w:rPr>
              <w:t>începând cu data de 1 iulie 2017, Comisia de autorizare a distribuitorilor pentru aparate de marcat electronice fiscale avizate tehnic, autorizează numai distribuitori pentru aparatele de marcat electronice fiscale echipate cu jurnal electronic;</w:t>
            </w:r>
          </w:p>
          <w:p w:rsidR="00150C8E" w:rsidRPr="001C12BC" w:rsidRDefault="00150C8E" w:rsidP="0029749E">
            <w:pPr>
              <w:pStyle w:val="ListParagraph"/>
              <w:numPr>
                <w:ilvl w:val="0"/>
                <w:numId w:val="12"/>
              </w:numPr>
              <w:autoSpaceDE w:val="0"/>
              <w:autoSpaceDN w:val="0"/>
              <w:adjustRightInd w:val="0"/>
              <w:ind w:left="4" w:firstLine="283"/>
              <w:jc w:val="both"/>
              <w:rPr>
                <w:lang w:val="en-US"/>
              </w:rPr>
            </w:pPr>
            <w:r w:rsidRPr="001C12BC">
              <w:rPr>
                <w:lang w:val="en-US"/>
              </w:rPr>
              <w:t>începând cu data de 1 octombrie 2017, se interzice comercializarea aparatelor de marcat electronice fiscale cu rolă jurnal (de genera</w:t>
            </w:r>
            <w:r w:rsidRPr="001C12BC">
              <w:rPr>
                <w:rFonts w:ascii="Tahoma" w:hAnsi="Tahoma" w:cs="Tahoma"/>
                <w:lang w:val="en-US"/>
              </w:rPr>
              <w:t>ț</w:t>
            </w:r>
            <w:r w:rsidRPr="001C12BC">
              <w:rPr>
                <w:lang w:val="en-US"/>
              </w:rPr>
              <w:t>ie veche);</w:t>
            </w:r>
          </w:p>
          <w:p w:rsidR="00150C8E" w:rsidRPr="001C12BC" w:rsidRDefault="00150C8E" w:rsidP="0029749E">
            <w:pPr>
              <w:pStyle w:val="ListParagraph"/>
              <w:numPr>
                <w:ilvl w:val="0"/>
                <w:numId w:val="12"/>
              </w:numPr>
              <w:autoSpaceDE w:val="0"/>
              <w:autoSpaceDN w:val="0"/>
              <w:adjustRightInd w:val="0"/>
              <w:ind w:left="4" w:firstLine="283"/>
              <w:jc w:val="both"/>
              <w:rPr>
                <w:lang w:val="en-US"/>
              </w:rPr>
            </w:pPr>
            <w:r w:rsidRPr="001C12BC">
              <w:rPr>
                <w:lang w:val="en-US"/>
              </w:rPr>
              <w:t>începând cu data de 1 ianuarie 2018, operatorii economici care au calitatea de mari contribuabili, au obliga</w:t>
            </w:r>
            <w:r w:rsidRPr="001C12BC">
              <w:rPr>
                <w:rFonts w:ascii="Tahoma" w:hAnsi="Tahoma" w:cs="Tahoma"/>
                <w:lang w:val="en-US"/>
              </w:rPr>
              <w:t>ț</w:t>
            </w:r>
            <w:r w:rsidRPr="001C12BC">
              <w:rPr>
                <w:lang w:val="en-US"/>
              </w:rPr>
              <w:t>ia de a utiliza numai case de marcat cu jurnal electronic;</w:t>
            </w:r>
          </w:p>
          <w:p w:rsidR="00150C8E" w:rsidRPr="001C12BC" w:rsidRDefault="00150C8E" w:rsidP="00802C68">
            <w:pPr>
              <w:pStyle w:val="ListParagraph"/>
              <w:numPr>
                <w:ilvl w:val="0"/>
                <w:numId w:val="12"/>
              </w:numPr>
              <w:autoSpaceDE w:val="0"/>
              <w:autoSpaceDN w:val="0"/>
              <w:adjustRightInd w:val="0"/>
              <w:ind w:left="4" w:firstLine="283"/>
              <w:jc w:val="both"/>
              <w:rPr>
                <w:lang w:val="en-US"/>
              </w:rPr>
            </w:pPr>
            <w:r w:rsidRPr="001C12BC">
              <w:rPr>
                <w:lang w:val="en-US"/>
              </w:rPr>
              <w:t xml:space="preserve"> începând cu data de 1 aprilie 2018, operatorii economici care au calitatea de contribuabili mijlocii, au obliga</w:t>
            </w:r>
            <w:r w:rsidRPr="001C12BC">
              <w:rPr>
                <w:rFonts w:ascii="Tahoma" w:hAnsi="Tahoma" w:cs="Tahoma"/>
                <w:lang w:val="en-US"/>
              </w:rPr>
              <w:t>ț</w:t>
            </w:r>
            <w:r w:rsidRPr="001C12BC">
              <w:rPr>
                <w:lang w:val="en-US"/>
              </w:rPr>
              <w:t>ia de a utiliza numai case de marcat cu jurnal electronic;</w:t>
            </w:r>
          </w:p>
          <w:p w:rsidR="00150C8E" w:rsidRPr="001C12BC" w:rsidRDefault="00150C8E" w:rsidP="00802C68">
            <w:pPr>
              <w:pStyle w:val="ListParagraph"/>
              <w:numPr>
                <w:ilvl w:val="0"/>
                <w:numId w:val="12"/>
              </w:numPr>
              <w:autoSpaceDE w:val="0"/>
              <w:autoSpaceDN w:val="0"/>
              <w:adjustRightInd w:val="0"/>
              <w:ind w:left="4" w:firstLine="283"/>
              <w:jc w:val="both"/>
              <w:rPr>
                <w:lang w:val="en-US"/>
              </w:rPr>
            </w:pPr>
            <w:r w:rsidRPr="001C12BC">
              <w:rPr>
                <w:lang w:val="en-US"/>
              </w:rPr>
              <w:t>începând cu data de 1 august 2018, operatorii economici care au calitatea de contribuabili mici, au obliga</w:t>
            </w:r>
            <w:r w:rsidRPr="001C12BC">
              <w:rPr>
                <w:rFonts w:ascii="Tahoma" w:hAnsi="Tahoma" w:cs="Tahoma"/>
                <w:lang w:val="en-US"/>
              </w:rPr>
              <w:t>ț</w:t>
            </w:r>
            <w:r w:rsidRPr="001C12BC">
              <w:rPr>
                <w:lang w:val="en-US"/>
              </w:rPr>
              <w:t>ia de a utiliza numai case de marcat cu jurnal electronic.</w:t>
            </w:r>
          </w:p>
          <w:p w:rsidR="00150C8E" w:rsidRPr="001C12BC" w:rsidRDefault="00150C8E" w:rsidP="009D4E4C">
            <w:pPr>
              <w:pStyle w:val="ListParagraph"/>
              <w:numPr>
                <w:ilvl w:val="0"/>
                <w:numId w:val="12"/>
              </w:numPr>
              <w:ind w:left="4" w:firstLine="283"/>
              <w:jc w:val="both"/>
            </w:pPr>
            <w:r w:rsidRPr="001C12BC">
              <w:rPr>
                <w:lang w:val="en-US"/>
              </w:rPr>
              <w:t>până la data de 1 noiembrie 2018, prin ordin al pre</w:t>
            </w:r>
            <w:r w:rsidRPr="001C12BC">
              <w:rPr>
                <w:rFonts w:ascii="Tahoma" w:hAnsi="Tahoma" w:cs="Tahoma"/>
                <w:lang w:val="en-US"/>
              </w:rPr>
              <w:t>ș</w:t>
            </w:r>
            <w:r w:rsidRPr="001C12BC">
              <w:rPr>
                <w:lang w:val="en-US"/>
              </w:rPr>
              <w:t>edintelui Agen</w:t>
            </w:r>
            <w:r w:rsidRPr="001C12BC">
              <w:rPr>
                <w:rFonts w:ascii="Tahoma" w:hAnsi="Tahoma" w:cs="Tahoma"/>
                <w:lang w:val="en-US"/>
              </w:rPr>
              <w:t>ț</w:t>
            </w:r>
            <w:r w:rsidRPr="001C12BC">
              <w:rPr>
                <w:lang w:val="en-US"/>
              </w:rPr>
              <w:t>iei Na</w:t>
            </w:r>
            <w:r w:rsidRPr="001C12BC">
              <w:rPr>
                <w:rFonts w:ascii="Tahoma" w:hAnsi="Tahoma" w:cs="Tahoma"/>
                <w:lang w:val="en-US"/>
              </w:rPr>
              <w:t>ț</w:t>
            </w:r>
            <w:r w:rsidRPr="001C12BC">
              <w:rPr>
                <w:lang w:val="en-US"/>
              </w:rPr>
              <w:t>ionale de Administrare Fiscală, se aprobă</w:t>
            </w:r>
            <w:r w:rsidRPr="001C12BC">
              <w:rPr>
                <w:i/>
                <w:iCs/>
              </w:rPr>
              <w:t xml:space="preserve"> </w:t>
            </w:r>
            <w:r w:rsidRPr="001C12BC">
              <w:rPr>
                <w:lang w:val="en-US"/>
              </w:rPr>
              <w:t>procedura de conectare a aparatelor de marcat electronice fiscale la sistemul informatic naţional de supraveghere şi monitorizare a datelor fiscale</w:t>
            </w:r>
            <w:r w:rsidRPr="001C12BC">
              <w:rPr>
                <w:i/>
                <w:iCs/>
              </w:rPr>
              <w:t>.</w:t>
            </w:r>
          </w:p>
          <w:p w:rsidR="00150C8E" w:rsidRPr="001C12BC" w:rsidRDefault="00150C8E" w:rsidP="000F0D20">
            <w:pPr>
              <w:autoSpaceDE w:val="0"/>
              <w:autoSpaceDN w:val="0"/>
              <w:adjustRightInd w:val="0"/>
              <w:jc w:val="both"/>
              <w:rPr>
                <w:lang w:val="en-US"/>
              </w:rPr>
            </w:pPr>
            <w:r w:rsidRPr="001C12BC">
              <w:rPr>
                <w:lang w:val="en-US"/>
              </w:rPr>
              <w:t xml:space="preserve">       În ceea ce prive</w:t>
            </w:r>
            <w:r w:rsidRPr="001C12BC">
              <w:rPr>
                <w:rFonts w:ascii="Tahoma" w:hAnsi="Tahoma" w:cs="Tahoma"/>
                <w:lang w:val="en-US"/>
              </w:rPr>
              <w:t>ș</w:t>
            </w:r>
            <w:r w:rsidRPr="001C12BC">
              <w:rPr>
                <w:lang w:val="en-US"/>
              </w:rPr>
              <w:t>te finalizarea legisla</w:t>
            </w:r>
            <w:r w:rsidRPr="001C12BC">
              <w:rPr>
                <w:rFonts w:ascii="Tahoma" w:hAnsi="Tahoma" w:cs="Tahoma"/>
                <w:lang w:val="en-US"/>
              </w:rPr>
              <w:t>ț</w:t>
            </w:r>
            <w:r w:rsidRPr="001C12BC">
              <w:rPr>
                <w:lang w:val="en-US"/>
              </w:rPr>
              <w:t>iei secundare, aceasta nu a putut fi realizată până la această dată, întruc</w:t>
            </w:r>
            <w:r w:rsidRPr="001C12BC">
              <w:t>ât</w:t>
            </w:r>
            <w:r w:rsidRPr="001C12BC">
              <w:rPr>
                <w:lang w:val="en-US"/>
              </w:rPr>
              <w:t xml:space="preserve"> o serie de aspecte tehnice, cu un grad ridicat de dificultate, cuprinse în proiectul de hotărâre de Guvern pentru modificarea </w:t>
            </w:r>
            <w:r w:rsidRPr="001C12BC">
              <w:rPr>
                <w:rFonts w:ascii="Tahoma" w:hAnsi="Tahoma" w:cs="Tahoma"/>
                <w:lang w:val="en-US"/>
              </w:rPr>
              <w:t>ș</w:t>
            </w:r>
            <w:r w:rsidRPr="001C12BC">
              <w:rPr>
                <w:lang w:val="en-US"/>
              </w:rPr>
              <w:t>i completarea Normelor metodologice pentru aplicarea Ordonan</w:t>
            </w:r>
            <w:r w:rsidRPr="001C12BC">
              <w:rPr>
                <w:rFonts w:ascii="Tahoma" w:hAnsi="Tahoma" w:cs="Tahoma"/>
                <w:lang w:val="en-US"/>
              </w:rPr>
              <w:t>ț</w:t>
            </w:r>
            <w:r w:rsidRPr="001C12BC">
              <w:rPr>
                <w:lang w:val="en-US"/>
              </w:rPr>
              <w:t>ei de urgen</w:t>
            </w:r>
            <w:r w:rsidRPr="001C12BC">
              <w:rPr>
                <w:rFonts w:ascii="Tahoma" w:hAnsi="Tahoma" w:cs="Tahoma"/>
                <w:lang w:val="en-US"/>
              </w:rPr>
              <w:t>ț</w:t>
            </w:r>
            <w:r w:rsidRPr="001C12BC">
              <w:rPr>
                <w:lang w:val="en-US"/>
              </w:rPr>
              <w:t>ă a Guvernului nr. 28/1999, care influen</w:t>
            </w:r>
            <w:r w:rsidRPr="001C12BC">
              <w:rPr>
                <w:rFonts w:ascii="Tahoma" w:hAnsi="Tahoma" w:cs="Tahoma"/>
                <w:lang w:val="en-US"/>
              </w:rPr>
              <w:t>ț</w:t>
            </w:r>
            <w:r w:rsidRPr="001C12BC">
              <w:rPr>
                <w:lang w:val="en-US"/>
              </w:rPr>
              <w:t>ează atingerea unuia dintre obiectivele majore urmărite prin implementarea aparatelor de marcat cu jurnal electronic, mai precis combaterea evaziunii fiscale prin transmiterea datelor fiscale  către ANAF, în vederea realizării unor analize de risc, nu au fost încă decise.</w:t>
            </w:r>
          </w:p>
        </w:tc>
      </w:tr>
      <w:tr w:rsidR="00150C8E" w:rsidRPr="001C12BC">
        <w:tc>
          <w:tcPr>
            <w:tcW w:w="3708" w:type="dxa"/>
            <w:gridSpan w:val="2"/>
          </w:tcPr>
          <w:p w:rsidR="00150C8E" w:rsidRPr="001C12BC" w:rsidRDefault="00150C8E" w:rsidP="00ED6942">
            <w:pPr>
              <w:jc w:val="both"/>
            </w:pPr>
            <w:r w:rsidRPr="001C12BC">
              <w:t>2. Schimbări preconizate</w:t>
            </w:r>
          </w:p>
        </w:tc>
        <w:tc>
          <w:tcPr>
            <w:tcW w:w="6594" w:type="dxa"/>
            <w:gridSpan w:val="9"/>
          </w:tcPr>
          <w:p w:rsidR="00150C8E" w:rsidRPr="001C12BC" w:rsidRDefault="00150C8E" w:rsidP="00427216">
            <w:pPr>
              <w:jc w:val="both"/>
              <w:rPr>
                <w:lang w:val="en-US"/>
              </w:rPr>
            </w:pPr>
            <w:r w:rsidRPr="001C12BC">
              <w:t xml:space="preserve">       Având în vedere faptul că, la această dată se înregistrează un decalaj de peste 3 luni fa</w:t>
            </w:r>
            <w:r w:rsidRPr="001C12BC">
              <w:rPr>
                <w:rFonts w:ascii="Tahoma" w:hAnsi="Tahoma" w:cs="Tahoma"/>
              </w:rPr>
              <w:t>ț</w:t>
            </w:r>
            <w:r w:rsidRPr="001C12BC">
              <w:t xml:space="preserve">ă de calendarul prevăzut de lege pentru implementarea aparatelor de marcat electronice fiscale cu jurnal electronic, precum </w:t>
            </w:r>
            <w:r w:rsidRPr="001C12BC">
              <w:rPr>
                <w:rFonts w:ascii="Tahoma" w:hAnsi="Tahoma" w:cs="Tahoma"/>
              </w:rPr>
              <w:t>ș</w:t>
            </w:r>
            <w:r w:rsidRPr="001C12BC">
              <w:t>i necesitatea identificării celor mai bune solu</w:t>
            </w:r>
            <w:r w:rsidRPr="001C12BC">
              <w:rPr>
                <w:rFonts w:ascii="Tahoma" w:hAnsi="Tahoma" w:cs="Tahoma"/>
              </w:rPr>
              <w:t>ț</w:t>
            </w:r>
            <w:r w:rsidRPr="001C12BC">
              <w:t>ii de reglementare a unor aspecte tehnice cu grad mare de dificultate, care se regăsesc la nivelul legisla</w:t>
            </w:r>
            <w:r w:rsidRPr="001C12BC">
              <w:rPr>
                <w:rFonts w:ascii="Tahoma" w:hAnsi="Tahoma" w:cs="Tahoma"/>
              </w:rPr>
              <w:t>ț</w:t>
            </w:r>
            <w:r w:rsidRPr="001C12BC">
              <w:t xml:space="preserve">iei secundare, se impune revizuirea termenelor de implementare prevăzute de </w:t>
            </w:r>
            <w:r w:rsidRPr="001C12BC">
              <w:rPr>
                <w:b/>
                <w:bCs/>
              </w:rPr>
              <w:t>Ordonan</w:t>
            </w:r>
            <w:r w:rsidRPr="001C12BC">
              <w:rPr>
                <w:rFonts w:ascii="Tahoma" w:hAnsi="Tahoma" w:cs="Tahoma"/>
                <w:b/>
                <w:bCs/>
              </w:rPr>
              <w:t>ț</w:t>
            </w:r>
            <w:r w:rsidRPr="001C12BC">
              <w:rPr>
                <w:b/>
                <w:bCs/>
              </w:rPr>
              <w:t>a de urgen</w:t>
            </w:r>
            <w:r w:rsidRPr="001C12BC">
              <w:rPr>
                <w:rFonts w:ascii="Tahoma" w:hAnsi="Tahoma" w:cs="Tahoma"/>
                <w:b/>
                <w:bCs/>
              </w:rPr>
              <w:t>ț</w:t>
            </w:r>
            <w:r w:rsidRPr="001C12BC">
              <w:rPr>
                <w:b/>
                <w:bCs/>
              </w:rPr>
              <w:t xml:space="preserve">ă a Guvernului nr. 91/2014, cu modificările </w:t>
            </w:r>
            <w:r w:rsidRPr="001C12BC">
              <w:rPr>
                <w:rFonts w:ascii="Tahoma" w:hAnsi="Tahoma" w:cs="Tahoma"/>
                <w:b/>
                <w:bCs/>
              </w:rPr>
              <w:t>ș</w:t>
            </w:r>
            <w:r w:rsidRPr="001C12BC">
              <w:rPr>
                <w:b/>
                <w:bCs/>
              </w:rPr>
              <w:t>i completările ulterioare</w:t>
            </w:r>
            <w:r w:rsidRPr="001C12BC">
              <w:t>, astfel</w:t>
            </w:r>
            <w:r w:rsidRPr="001C12BC">
              <w:rPr>
                <w:lang w:val="en-US"/>
              </w:rPr>
              <w:t>:</w:t>
            </w:r>
          </w:p>
          <w:p w:rsidR="00150C8E" w:rsidRPr="001C12BC" w:rsidRDefault="00150C8E" w:rsidP="00640217">
            <w:pPr>
              <w:pStyle w:val="ListParagraph"/>
              <w:numPr>
                <w:ilvl w:val="0"/>
                <w:numId w:val="12"/>
              </w:numPr>
              <w:autoSpaceDE w:val="0"/>
              <w:autoSpaceDN w:val="0"/>
              <w:adjustRightInd w:val="0"/>
              <w:ind w:left="4" w:firstLine="283"/>
              <w:jc w:val="both"/>
              <w:rPr>
                <w:lang w:val="en-US"/>
              </w:rPr>
            </w:pPr>
            <w:r w:rsidRPr="001C12BC">
              <w:rPr>
                <w:lang w:val="en-US"/>
              </w:rPr>
              <w:t>până la data de 31 august 2017, Ministerul Finan</w:t>
            </w:r>
            <w:r w:rsidRPr="001C12BC">
              <w:rPr>
                <w:rFonts w:ascii="Tahoma" w:hAnsi="Tahoma" w:cs="Tahoma"/>
                <w:lang w:val="en-US"/>
              </w:rPr>
              <w:t>ț</w:t>
            </w:r>
            <w:r w:rsidRPr="001C12BC">
              <w:rPr>
                <w:lang w:val="en-US"/>
              </w:rPr>
              <w:t xml:space="preserve">elor Publice modifică </w:t>
            </w:r>
            <w:r w:rsidRPr="001C12BC">
              <w:rPr>
                <w:rFonts w:ascii="Tahoma" w:hAnsi="Tahoma" w:cs="Tahoma"/>
                <w:lang w:val="en-US"/>
              </w:rPr>
              <w:t>ș</w:t>
            </w:r>
            <w:r w:rsidRPr="001C12BC">
              <w:rPr>
                <w:lang w:val="en-US"/>
              </w:rPr>
              <w:t>i completează în mod corespunzător prevederile Normelor metodologice de aplicare a Ordonan</w:t>
            </w:r>
            <w:r w:rsidRPr="001C12BC">
              <w:rPr>
                <w:rFonts w:ascii="Tahoma" w:hAnsi="Tahoma" w:cs="Tahoma"/>
                <w:lang w:val="en-US"/>
              </w:rPr>
              <w:t>ț</w:t>
            </w:r>
            <w:r w:rsidRPr="001C12BC">
              <w:rPr>
                <w:lang w:val="en-US"/>
              </w:rPr>
              <w:t>ei de urgen</w:t>
            </w:r>
            <w:r w:rsidRPr="001C12BC">
              <w:rPr>
                <w:rFonts w:ascii="Tahoma" w:hAnsi="Tahoma" w:cs="Tahoma"/>
                <w:lang w:val="en-US"/>
              </w:rPr>
              <w:t>ț</w:t>
            </w:r>
            <w:r w:rsidRPr="001C12BC">
              <w:rPr>
                <w:lang w:val="en-US"/>
              </w:rPr>
              <w:t>ă a Guvernului nr. 28/1999, aprobate prin Hotărârea Guvernului nr. 479/2003, republicată, cu modificările ulterioare;</w:t>
            </w:r>
          </w:p>
          <w:p w:rsidR="00150C8E" w:rsidRPr="001C12BC" w:rsidRDefault="00150C8E" w:rsidP="00640217">
            <w:pPr>
              <w:pStyle w:val="ListParagraph"/>
              <w:numPr>
                <w:ilvl w:val="0"/>
                <w:numId w:val="12"/>
              </w:numPr>
              <w:autoSpaceDE w:val="0"/>
              <w:autoSpaceDN w:val="0"/>
              <w:adjustRightInd w:val="0"/>
              <w:ind w:left="4" w:firstLine="283"/>
              <w:jc w:val="both"/>
              <w:rPr>
                <w:lang w:val="en-US"/>
              </w:rPr>
            </w:pPr>
            <w:r w:rsidRPr="001C12BC">
              <w:rPr>
                <w:lang w:val="en-US"/>
              </w:rPr>
              <w:t>până la data de 31 august 2017, prin ordin comun al ministrului finan</w:t>
            </w:r>
            <w:r w:rsidRPr="001C12BC">
              <w:rPr>
                <w:rFonts w:ascii="Tahoma" w:hAnsi="Tahoma" w:cs="Tahoma"/>
                <w:lang w:val="en-US"/>
              </w:rPr>
              <w:t>ț</w:t>
            </w:r>
            <w:r w:rsidRPr="001C12BC">
              <w:rPr>
                <w:lang w:val="en-US"/>
              </w:rPr>
              <w:t xml:space="preserve">elor publice </w:t>
            </w:r>
            <w:r w:rsidRPr="001C12BC">
              <w:rPr>
                <w:rFonts w:ascii="Tahoma" w:hAnsi="Tahoma" w:cs="Tahoma"/>
                <w:lang w:val="en-US"/>
              </w:rPr>
              <w:t>ș</w:t>
            </w:r>
            <w:r w:rsidRPr="001C12BC">
              <w:rPr>
                <w:lang w:val="en-US"/>
              </w:rPr>
              <w:t>i al ministrului comunica</w:t>
            </w:r>
            <w:r w:rsidRPr="001C12BC">
              <w:rPr>
                <w:rFonts w:ascii="Tahoma" w:hAnsi="Tahoma" w:cs="Tahoma"/>
                <w:lang w:val="en-US"/>
              </w:rPr>
              <w:t>ț</w:t>
            </w:r>
            <w:r w:rsidRPr="001C12BC">
              <w:rPr>
                <w:lang w:val="en-US"/>
              </w:rPr>
              <w:t xml:space="preserve">iilor </w:t>
            </w:r>
            <w:r w:rsidRPr="001C12BC">
              <w:rPr>
                <w:rFonts w:ascii="Tahoma" w:hAnsi="Tahoma" w:cs="Tahoma"/>
                <w:lang w:val="en-US"/>
              </w:rPr>
              <w:t>ș</w:t>
            </w:r>
            <w:r w:rsidRPr="001C12BC">
              <w:rPr>
                <w:lang w:val="en-US"/>
              </w:rPr>
              <w:t>i pentru societatea informa</w:t>
            </w:r>
            <w:r w:rsidRPr="001C12BC">
              <w:rPr>
                <w:rFonts w:ascii="Tahoma" w:hAnsi="Tahoma" w:cs="Tahoma"/>
                <w:lang w:val="en-US"/>
              </w:rPr>
              <w:t>ț</w:t>
            </w:r>
            <w:r w:rsidRPr="001C12BC">
              <w:rPr>
                <w:lang w:val="en-US"/>
              </w:rPr>
              <w:t>ională, se aprobă procedura de avizare tehnică a modelelor de aparate de marcat electronice fiscale cu jurnal electronic;</w:t>
            </w:r>
          </w:p>
          <w:p w:rsidR="00150C8E" w:rsidRPr="001C12BC" w:rsidRDefault="00150C8E" w:rsidP="00640217">
            <w:pPr>
              <w:pStyle w:val="ListParagraph"/>
              <w:numPr>
                <w:ilvl w:val="0"/>
                <w:numId w:val="12"/>
              </w:numPr>
              <w:autoSpaceDE w:val="0"/>
              <w:autoSpaceDN w:val="0"/>
              <w:adjustRightInd w:val="0"/>
              <w:ind w:left="4" w:firstLine="283"/>
              <w:jc w:val="both"/>
              <w:rPr>
                <w:lang w:val="en-US"/>
              </w:rPr>
            </w:pPr>
            <w:r w:rsidRPr="001C12BC">
              <w:rPr>
                <w:lang w:val="en-US"/>
              </w:rPr>
              <w:t>până la data de 31 august 2017, prin ordin al pre</w:t>
            </w:r>
            <w:r w:rsidRPr="001C12BC">
              <w:rPr>
                <w:rFonts w:ascii="Tahoma" w:hAnsi="Tahoma" w:cs="Tahoma"/>
                <w:lang w:val="en-US"/>
              </w:rPr>
              <w:t>ș</w:t>
            </w:r>
            <w:r w:rsidRPr="001C12BC">
              <w:rPr>
                <w:lang w:val="en-US"/>
              </w:rPr>
              <w:t>edintelui Agen</w:t>
            </w:r>
            <w:r w:rsidRPr="001C12BC">
              <w:rPr>
                <w:rFonts w:ascii="Tahoma" w:hAnsi="Tahoma" w:cs="Tahoma"/>
                <w:lang w:val="en-US"/>
              </w:rPr>
              <w:t>ț</w:t>
            </w:r>
            <w:r w:rsidRPr="001C12BC">
              <w:rPr>
                <w:lang w:val="en-US"/>
              </w:rPr>
              <w:t>iei Na</w:t>
            </w:r>
            <w:r w:rsidRPr="001C12BC">
              <w:rPr>
                <w:rFonts w:ascii="Tahoma" w:hAnsi="Tahoma" w:cs="Tahoma"/>
                <w:lang w:val="en-US"/>
              </w:rPr>
              <w:t>ț</w:t>
            </w:r>
            <w:r w:rsidRPr="001C12BC">
              <w:rPr>
                <w:lang w:val="en-US"/>
              </w:rPr>
              <w:t>ionale de Administrare Fiscală, se aprobă informa</w:t>
            </w:r>
            <w:r w:rsidRPr="001C12BC">
              <w:rPr>
                <w:rFonts w:ascii="Tahoma" w:hAnsi="Tahoma" w:cs="Tahoma"/>
                <w:lang w:val="en-US"/>
              </w:rPr>
              <w:t>ț</w:t>
            </w:r>
            <w:r w:rsidRPr="001C12BC">
              <w:rPr>
                <w:lang w:val="en-US"/>
              </w:rPr>
              <w:t>iile con</w:t>
            </w:r>
            <w:r w:rsidRPr="001C12BC">
              <w:rPr>
                <w:rFonts w:ascii="Tahoma" w:hAnsi="Tahoma" w:cs="Tahoma"/>
                <w:lang w:val="en-US"/>
              </w:rPr>
              <w:t>ț</w:t>
            </w:r>
            <w:r w:rsidRPr="001C12BC">
              <w:rPr>
                <w:lang w:val="en-US"/>
              </w:rPr>
              <w:t>inute în registrul na</w:t>
            </w:r>
            <w:r w:rsidRPr="001C12BC">
              <w:rPr>
                <w:rFonts w:ascii="Tahoma" w:hAnsi="Tahoma" w:cs="Tahoma"/>
                <w:lang w:val="en-US"/>
              </w:rPr>
              <w:t>ț</w:t>
            </w:r>
            <w:r w:rsidRPr="001C12BC">
              <w:rPr>
                <w:lang w:val="en-US"/>
              </w:rPr>
              <w:t>ional de eviden</w:t>
            </w:r>
            <w:r w:rsidRPr="001C12BC">
              <w:rPr>
                <w:rFonts w:ascii="Tahoma" w:hAnsi="Tahoma" w:cs="Tahoma"/>
                <w:lang w:val="en-US"/>
              </w:rPr>
              <w:t>ț</w:t>
            </w:r>
            <w:r w:rsidRPr="001C12BC">
              <w:rPr>
                <w:lang w:val="en-US"/>
              </w:rPr>
              <w:t>ă a aparatelor de marcat electronice fiscale instalate în jude</w:t>
            </w:r>
            <w:r w:rsidRPr="001C12BC">
              <w:rPr>
                <w:rFonts w:ascii="Tahoma" w:hAnsi="Tahoma" w:cs="Tahoma"/>
                <w:lang w:val="en-US"/>
              </w:rPr>
              <w:t>ț</w:t>
            </w:r>
            <w:r w:rsidRPr="001C12BC">
              <w:rPr>
                <w:lang w:val="en-US"/>
              </w:rPr>
              <w:t xml:space="preserve">e </w:t>
            </w:r>
            <w:r w:rsidRPr="001C12BC">
              <w:rPr>
                <w:rFonts w:ascii="Tahoma" w:hAnsi="Tahoma" w:cs="Tahoma"/>
                <w:lang w:val="en-US"/>
              </w:rPr>
              <w:t>ș</w:t>
            </w:r>
            <w:r w:rsidRPr="001C12BC">
              <w:rPr>
                <w:lang w:val="en-US"/>
              </w:rPr>
              <w:t>i în sectoarele municipiului Bucure</w:t>
            </w:r>
            <w:r w:rsidRPr="001C12BC">
              <w:rPr>
                <w:rFonts w:ascii="Tahoma" w:hAnsi="Tahoma" w:cs="Tahoma"/>
                <w:lang w:val="en-US"/>
              </w:rPr>
              <w:t>ș</w:t>
            </w:r>
            <w:r w:rsidRPr="001C12BC">
              <w:rPr>
                <w:lang w:val="en-US"/>
              </w:rPr>
              <w:t xml:space="preserve">ti, după caz, precum </w:t>
            </w:r>
            <w:r w:rsidRPr="001C12BC">
              <w:rPr>
                <w:rFonts w:ascii="Tahoma" w:hAnsi="Tahoma" w:cs="Tahoma"/>
                <w:lang w:val="en-US"/>
              </w:rPr>
              <w:t>ș</w:t>
            </w:r>
            <w:r w:rsidRPr="001C12BC">
              <w:rPr>
                <w:lang w:val="en-US"/>
              </w:rPr>
              <w:t xml:space="preserve">i metodologia </w:t>
            </w:r>
            <w:r w:rsidRPr="001C12BC">
              <w:rPr>
                <w:rFonts w:ascii="Tahoma" w:hAnsi="Tahoma" w:cs="Tahoma"/>
                <w:lang w:val="en-US"/>
              </w:rPr>
              <w:t>ș</w:t>
            </w:r>
            <w:r w:rsidRPr="001C12BC">
              <w:rPr>
                <w:lang w:val="en-US"/>
              </w:rPr>
              <w:t>i procedura de înregistrare a acestora;</w:t>
            </w:r>
          </w:p>
          <w:p w:rsidR="00150C8E" w:rsidRPr="001C12BC" w:rsidRDefault="00150C8E" w:rsidP="00640217">
            <w:pPr>
              <w:pStyle w:val="ListParagraph"/>
              <w:numPr>
                <w:ilvl w:val="0"/>
                <w:numId w:val="12"/>
              </w:numPr>
              <w:autoSpaceDE w:val="0"/>
              <w:autoSpaceDN w:val="0"/>
              <w:adjustRightInd w:val="0"/>
              <w:ind w:left="4" w:firstLine="283"/>
              <w:jc w:val="both"/>
              <w:rPr>
                <w:lang w:val="en-US"/>
              </w:rPr>
            </w:pPr>
            <w:r w:rsidRPr="001C12BC">
              <w:rPr>
                <w:lang w:val="en-US"/>
              </w:rPr>
              <w:t>începând cu data de 1 februarie 2018, Comisia de autorizare a distribuitorilor pentru aparate de marcat electronice fiscale avizate tehnic, autorizează numai distribuitori pentru aparatele de marcat electronice fiscale echipate cu jurnal electronic;</w:t>
            </w:r>
          </w:p>
          <w:p w:rsidR="00150C8E" w:rsidRPr="001C12BC" w:rsidRDefault="00150C8E" w:rsidP="00640217">
            <w:pPr>
              <w:pStyle w:val="ListParagraph"/>
              <w:numPr>
                <w:ilvl w:val="0"/>
                <w:numId w:val="12"/>
              </w:numPr>
              <w:autoSpaceDE w:val="0"/>
              <w:autoSpaceDN w:val="0"/>
              <w:adjustRightInd w:val="0"/>
              <w:ind w:left="4" w:firstLine="283"/>
              <w:jc w:val="both"/>
              <w:rPr>
                <w:lang w:val="en-US"/>
              </w:rPr>
            </w:pPr>
            <w:r w:rsidRPr="001C12BC">
              <w:rPr>
                <w:lang w:val="en-US"/>
              </w:rPr>
              <w:t>începând cu data de 1 mai 2018, se interzice comercializarea aparatelor de marcat electronice fiscale cu rolă jurnal (de genera</w:t>
            </w:r>
            <w:r w:rsidRPr="001C12BC">
              <w:rPr>
                <w:rFonts w:ascii="Tahoma" w:hAnsi="Tahoma" w:cs="Tahoma"/>
                <w:lang w:val="en-US"/>
              </w:rPr>
              <w:t>ț</w:t>
            </w:r>
            <w:r w:rsidRPr="001C12BC">
              <w:rPr>
                <w:lang w:val="en-US"/>
              </w:rPr>
              <w:t>ie veche);</w:t>
            </w:r>
          </w:p>
          <w:p w:rsidR="00150C8E" w:rsidRPr="001C12BC" w:rsidRDefault="00150C8E" w:rsidP="00640217">
            <w:pPr>
              <w:pStyle w:val="ListParagraph"/>
              <w:numPr>
                <w:ilvl w:val="0"/>
                <w:numId w:val="12"/>
              </w:numPr>
              <w:autoSpaceDE w:val="0"/>
              <w:autoSpaceDN w:val="0"/>
              <w:adjustRightInd w:val="0"/>
              <w:ind w:left="4" w:firstLine="283"/>
              <w:jc w:val="both"/>
              <w:rPr>
                <w:lang w:val="en-US"/>
              </w:rPr>
            </w:pPr>
            <w:r w:rsidRPr="001C12BC">
              <w:rPr>
                <w:lang w:val="en-US"/>
              </w:rPr>
              <w:t>începând cu data de 1 mai 2018, to</w:t>
            </w:r>
            <w:r w:rsidRPr="001C12BC">
              <w:rPr>
                <w:rFonts w:ascii="Tahoma" w:hAnsi="Tahoma" w:cs="Tahoma"/>
              </w:rPr>
              <w:t>ț</w:t>
            </w:r>
            <w:r w:rsidRPr="001C12BC">
              <w:t xml:space="preserve">i </w:t>
            </w:r>
            <w:r w:rsidRPr="001C12BC">
              <w:rPr>
                <w:lang w:val="en-US"/>
              </w:rPr>
              <w:t>operatorii economici care au obliga</w:t>
            </w:r>
            <w:r w:rsidRPr="001C12BC">
              <w:rPr>
                <w:rFonts w:ascii="Tahoma" w:hAnsi="Tahoma" w:cs="Tahoma"/>
                <w:lang w:val="en-US"/>
              </w:rPr>
              <w:t>ț</w:t>
            </w:r>
            <w:r w:rsidRPr="001C12BC">
              <w:rPr>
                <w:lang w:val="en-US"/>
              </w:rPr>
              <w:t>ia de a utiliza aparate de marcat potrivit legii, au obliga</w:t>
            </w:r>
            <w:r w:rsidRPr="001C12BC">
              <w:rPr>
                <w:rFonts w:ascii="Tahoma" w:hAnsi="Tahoma" w:cs="Tahoma"/>
                <w:lang w:val="en-US"/>
              </w:rPr>
              <w:t>ț</w:t>
            </w:r>
            <w:r w:rsidRPr="001C12BC">
              <w:rPr>
                <w:lang w:val="en-US"/>
              </w:rPr>
              <w:t>ia de a utiliza numai case de marcat cu jurnal electronic.</w:t>
            </w:r>
          </w:p>
          <w:p w:rsidR="00150C8E" w:rsidRPr="001C12BC" w:rsidRDefault="00150C8E" w:rsidP="009702AC">
            <w:pPr>
              <w:jc w:val="both"/>
              <w:rPr>
                <w:lang w:val="en-US"/>
              </w:rPr>
            </w:pPr>
          </w:p>
          <w:p w:rsidR="00150C8E" w:rsidRPr="001C12BC" w:rsidRDefault="00150C8E" w:rsidP="009702AC">
            <w:pPr>
              <w:jc w:val="both"/>
              <w:rPr>
                <w:lang w:val="en-US"/>
              </w:rPr>
            </w:pPr>
            <w:r w:rsidRPr="001C12BC">
              <w:rPr>
                <w:lang w:val="en-US"/>
              </w:rPr>
              <w:t xml:space="preserve">      </w:t>
            </w:r>
            <w:r w:rsidRPr="001C12BC">
              <w:t>Fa</w:t>
            </w:r>
            <w:r w:rsidRPr="001C12BC">
              <w:rPr>
                <w:rFonts w:ascii="Tahoma" w:hAnsi="Tahoma" w:cs="Tahoma"/>
              </w:rPr>
              <w:t>ț</w:t>
            </w:r>
            <w:r w:rsidRPr="001C12BC">
              <w:t xml:space="preserve">ă de modificările propuse mai sus, precizăm că acestea au în vedere </w:t>
            </w:r>
            <w:r w:rsidRPr="001C12BC">
              <w:rPr>
                <w:lang w:val="en-US"/>
              </w:rPr>
              <w:t>necesitatea de a evita eventualele dificultă</w:t>
            </w:r>
            <w:r w:rsidRPr="001C12BC">
              <w:rPr>
                <w:rFonts w:ascii="Tahoma" w:hAnsi="Tahoma" w:cs="Tahoma"/>
                <w:lang w:val="en-US"/>
              </w:rPr>
              <w:t>ț</w:t>
            </w:r>
            <w:r w:rsidRPr="001C12BC">
              <w:rPr>
                <w:lang w:val="en-US"/>
              </w:rPr>
              <w:t xml:space="preserve">i care pot să apară în procesul de dotare cu noile aparate de marcat, (Ex: indisponibilitatea, </w:t>
            </w:r>
            <w:r w:rsidRPr="001C12BC">
              <w:t xml:space="preserve">la data limită prevăzută de lege pentru dotarea unei categorii de contribuabili, a </w:t>
            </w:r>
            <w:r w:rsidRPr="001C12BC">
              <w:rPr>
                <w:lang w:val="en-US"/>
              </w:rPr>
              <w:t xml:space="preserve"> unor modele de aparate de marcat specifice activit</w:t>
            </w:r>
            <w:r w:rsidRPr="001C12BC">
              <w:t>ă</w:t>
            </w:r>
            <w:r w:rsidRPr="001C12BC">
              <w:rPr>
                <w:rFonts w:ascii="Tahoma" w:hAnsi="Tahoma" w:cs="Tahoma"/>
              </w:rPr>
              <w:t>ț</w:t>
            </w:r>
            <w:r w:rsidRPr="001C12BC">
              <w:t>ilor desfă</w:t>
            </w:r>
            <w:r w:rsidRPr="001C12BC">
              <w:rPr>
                <w:rFonts w:ascii="Tahoma" w:hAnsi="Tahoma" w:cs="Tahoma"/>
              </w:rPr>
              <w:t>ș</w:t>
            </w:r>
            <w:r w:rsidRPr="001C12BC">
              <w:t>urate de ace</w:t>
            </w:r>
            <w:r w:rsidRPr="001C12BC">
              <w:rPr>
                <w:rFonts w:ascii="Tahoma" w:hAnsi="Tahoma" w:cs="Tahoma"/>
              </w:rPr>
              <w:t>ș</w:t>
            </w:r>
            <w:r w:rsidRPr="001C12BC">
              <w:t xml:space="preserve">tia), precum </w:t>
            </w:r>
            <w:r w:rsidRPr="001C12BC">
              <w:rPr>
                <w:rFonts w:ascii="Tahoma" w:hAnsi="Tahoma" w:cs="Tahoma"/>
              </w:rPr>
              <w:t>ș</w:t>
            </w:r>
            <w:r w:rsidRPr="001C12BC">
              <w:t>i faptul că nu influen</w:t>
            </w:r>
            <w:r w:rsidRPr="001C12BC">
              <w:rPr>
                <w:rFonts w:ascii="Tahoma" w:hAnsi="Tahoma" w:cs="Tahoma"/>
              </w:rPr>
              <w:t>ț</w:t>
            </w:r>
            <w:r w:rsidRPr="001C12BC">
              <w:t xml:space="preserve">ează calendarul de implementare, modificările aduse </w:t>
            </w:r>
            <w:r w:rsidRPr="001C12BC">
              <w:rPr>
                <w:lang w:val="en-US"/>
              </w:rPr>
              <w:t>abordării anterioare vizând următoarele aspecte :</w:t>
            </w:r>
          </w:p>
          <w:p w:rsidR="00150C8E" w:rsidRPr="001C12BC" w:rsidRDefault="00150C8E" w:rsidP="006268E3">
            <w:pPr>
              <w:pStyle w:val="ListParagraph"/>
              <w:numPr>
                <w:ilvl w:val="0"/>
                <w:numId w:val="14"/>
              </w:numPr>
              <w:ind w:left="4" w:firstLine="283"/>
              <w:jc w:val="both"/>
              <w:rPr>
                <w:lang w:val="en-US"/>
              </w:rPr>
            </w:pPr>
            <w:r w:rsidRPr="001C12BC">
              <w:rPr>
                <w:lang w:val="en-US"/>
              </w:rPr>
              <w:t>în locul dotării etapizate, pe categorii de contribuabili, se introduce un singur termen limită pentru to</w:t>
            </w:r>
            <w:r w:rsidRPr="001C12BC">
              <w:rPr>
                <w:rFonts w:ascii="Tahoma" w:hAnsi="Tahoma" w:cs="Tahoma"/>
                <w:lang w:val="en-US"/>
              </w:rPr>
              <w:t>ț</w:t>
            </w:r>
            <w:r w:rsidRPr="001C12BC">
              <w:rPr>
                <w:lang w:val="en-US"/>
              </w:rPr>
              <w:t>i utilizatorii, lăsându-se la latitudinea acestora momentul la care aleg să se doteze cu aparate de marcat, în intervalul octombrie 2017- 01 mai 2018, singura condi</w:t>
            </w:r>
            <w:r w:rsidRPr="001C12BC">
              <w:rPr>
                <w:rFonts w:ascii="Tahoma" w:hAnsi="Tahoma" w:cs="Tahoma"/>
                <w:lang w:val="en-US"/>
              </w:rPr>
              <w:t>ț</w:t>
            </w:r>
            <w:r w:rsidRPr="001C12BC">
              <w:rPr>
                <w:lang w:val="en-US"/>
              </w:rPr>
              <w:t>ie fiind aceea de a respecta termenul de 1 mai 2018;</w:t>
            </w:r>
          </w:p>
          <w:p w:rsidR="00150C8E" w:rsidRPr="001C12BC" w:rsidRDefault="00150C8E" w:rsidP="006268E3">
            <w:pPr>
              <w:pStyle w:val="ListParagraph"/>
              <w:numPr>
                <w:ilvl w:val="0"/>
                <w:numId w:val="14"/>
              </w:numPr>
              <w:ind w:left="4" w:firstLine="283"/>
              <w:jc w:val="both"/>
              <w:rPr>
                <w:lang w:val="en-US"/>
              </w:rPr>
            </w:pPr>
            <w:r w:rsidRPr="001C12BC">
              <w:rPr>
                <w:lang w:val="en-US"/>
              </w:rPr>
              <w:t>data la care se interzice comercializarea aparatelor de marcat electronice fiscale dotate cu rol</w:t>
            </w:r>
            <w:r w:rsidRPr="001C12BC">
              <w:t>ă pe suport de hârtie, coincide cu data limită până la care utilizatorii au obliga</w:t>
            </w:r>
            <w:r w:rsidRPr="001C12BC">
              <w:rPr>
                <w:rFonts w:ascii="Tahoma" w:hAnsi="Tahoma" w:cs="Tahoma"/>
              </w:rPr>
              <w:t>ț</w:t>
            </w:r>
            <w:r w:rsidRPr="001C12BC">
              <w:t>ia de a se dota cu noile aparate de marcat, respectiv 01 mai 2018</w:t>
            </w:r>
            <w:r w:rsidRPr="001C12BC">
              <w:rPr>
                <w:lang w:val="en-US"/>
              </w:rPr>
              <w:t>;</w:t>
            </w:r>
          </w:p>
          <w:p w:rsidR="00150C8E" w:rsidRPr="001C12BC" w:rsidRDefault="00150C8E" w:rsidP="006268E3">
            <w:pPr>
              <w:pStyle w:val="ListParagraph"/>
              <w:numPr>
                <w:ilvl w:val="0"/>
                <w:numId w:val="14"/>
              </w:numPr>
              <w:ind w:left="4" w:firstLine="283"/>
              <w:jc w:val="both"/>
              <w:rPr>
                <w:lang w:val="en-US"/>
              </w:rPr>
            </w:pPr>
            <w:r w:rsidRPr="001C12BC">
              <w:t>se prelunge</w:t>
            </w:r>
            <w:r w:rsidRPr="001C12BC">
              <w:rPr>
                <w:rFonts w:ascii="Tahoma" w:hAnsi="Tahoma" w:cs="Tahoma"/>
              </w:rPr>
              <w:t>ș</w:t>
            </w:r>
            <w:r w:rsidRPr="001C12BC">
              <w:t xml:space="preserve">te intervalul de timp în care Comisia de autorizare a distribuitorilor pentru aparate de marcat electronice fiscale avizate tehnic din cadrul MFP, poate să autorizeze </w:t>
            </w:r>
            <w:r w:rsidRPr="001C12BC">
              <w:rPr>
                <w:rFonts w:ascii="Tahoma" w:hAnsi="Tahoma" w:cs="Tahoma"/>
              </w:rPr>
              <w:t>ș</w:t>
            </w:r>
            <w:r w:rsidRPr="001C12BC">
              <w:t>i distribuitori de aparate de marcat electronice fiscale vechi</w:t>
            </w:r>
            <w:r w:rsidRPr="001C12BC">
              <w:rPr>
                <w:rFonts w:eastAsia="SimSun"/>
                <w:noProof w:val="0"/>
                <w:kern w:val="3"/>
                <w:sz w:val="22"/>
                <w:szCs w:val="22"/>
                <w:shd w:val="clear" w:color="auto" w:fill="FFFFFF"/>
                <w:lang w:eastAsia="zh-CN"/>
              </w:rPr>
              <w:t>., respectiv 1 februarie 2018.</w:t>
            </w:r>
          </w:p>
          <w:p w:rsidR="00150C8E" w:rsidRPr="001C12BC" w:rsidRDefault="00150C8E" w:rsidP="00C90A33">
            <w:pPr>
              <w:pStyle w:val="ListParagraph"/>
              <w:ind w:left="287"/>
              <w:jc w:val="both"/>
              <w:rPr>
                <w:lang w:val="en-US"/>
              </w:rPr>
            </w:pPr>
          </w:p>
          <w:p w:rsidR="00150C8E" w:rsidRPr="001C12BC" w:rsidRDefault="00150C8E" w:rsidP="00C90A33">
            <w:pPr>
              <w:jc w:val="both"/>
            </w:pPr>
            <w:r w:rsidRPr="001C12BC">
              <w:rPr>
                <w:lang w:val="en-US"/>
              </w:rPr>
              <w:t xml:space="preserve">     </w:t>
            </w:r>
            <w:r w:rsidRPr="001C12BC">
              <w:t>Având în vedere modificarea prin prezentul proiect de act normativ a termenelor prevăzute de Ordonan</w:t>
            </w:r>
            <w:r w:rsidRPr="001C12BC">
              <w:rPr>
                <w:rFonts w:ascii="Tahoma" w:hAnsi="Tahoma" w:cs="Tahoma"/>
              </w:rPr>
              <w:t>ț</w:t>
            </w:r>
            <w:r w:rsidRPr="001C12BC">
              <w:t>a de urgen</w:t>
            </w:r>
            <w:r w:rsidRPr="001C12BC">
              <w:rPr>
                <w:rFonts w:ascii="Tahoma" w:hAnsi="Tahoma" w:cs="Tahoma"/>
              </w:rPr>
              <w:t>ț</w:t>
            </w:r>
            <w:r w:rsidRPr="001C12BC">
              <w:t xml:space="preserve">ă a Guvernului nr. 91/2014, se impune, în vederea corelării, </w:t>
            </w:r>
            <w:r w:rsidRPr="001C12BC">
              <w:rPr>
                <w:rFonts w:ascii="Tahoma" w:hAnsi="Tahoma" w:cs="Tahoma"/>
              </w:rPr>
              <w:t>ș</w:t>
            </w:r>
            <w:r w:rsidRPr="001C12BC">
              <w:t xml:space="preserve">i modificarea unor prevederi cuprinse în </w:t>
            </w:r>
            <w:r w:rsidRPr="001C12BC">
              <w:rPr>
                <w:b/>
                <w:bCs/>
              </w:rPr>
              <w:t>Ordonan</w:t>
            </w:r>
            <w:r w:rsidRPr="001C12BC">
              <w:rPr>
                <w:rFonts w:ascii="Tahoma" w:hAnsi="Tahoma" w:cs="Tahoma"/>
                <w:b/>
                <w:bCs/>
              </w:rPr>
              <w:t>ț</w:t>
            </w:r>
            <w:r w:rsidRPr="001C12BC">
              <w:rPr>
                <w:b/>
                <w:bCs/>
              </w:rPr>
              <w:t>a de urgen</w:t>
            </w:r>
            <w:r w:rsidRPr="001C12BC">
              <w:rPr>
                <w:rFonts w:ascii="Tahoma" w:hAnsi="Tahoma" w:cs="Tahoma"/>
                <w:b/>
                <w:bCs/>
              </w:rPr>
              <w:t>ț</w:t>
            </w:r>
            <w:r w:rsidRPr="001C12BC">
              <w:rPr>
                <w:b/>
                <w:bCs/>
              </w:rPr>
              <w:t>ă a Guvernului nr. 28/1999</w:t>
            </w:r>
            <w:r w:rsidRPr="001C12BC">
              <w:t>, astfel:</w:t>
            </w:r>
          </w:p>
          <w:p w:rsidR="00150C8E" w:rsidRPr="001C12BC" w:rsidRDefault="00150C8E" w:rsidP="00C90A33">
            <w:pPr>
              <w:pStyle w:val="ListParagraph"/>
              <w:numPr>
                <w:ilvl w:val="0"/>
                <w:numId w:val="17"/>
              </w:numPr>
              <w:ind w:left="4" w:firstLine="283"/>
              <w:jc w:val="both"/>
            </w:pPr>
            <w:r w:rsidRPr="001C12BC">
              <w:t>Se precizează termenul limită până la care î</w:t>
            </w:r>
            <w:r w:rsidRPr="001C12BC">
              <w:rPr>
                <w:rFonts w:ascii="Tahoma" w:hAnsi="Tahoma" w:cs="Tahoma"/>
              </w:rPr>
              <w:t>ș</w:t>
            </w:r>
            <w:r w:rsidRPr="001C12BC">
              <w:t>i men</w:t>
            </w:r>
            <w:r w:rsidRPr="001C12BC">
              <w:rPr>
                <w:rFonts w:ascii="Tahoma" w:hAnsi="Tahoma" w:cs="Tahoma"/>
              </w:rPr>
              <w:t>ț</w:t>
            </w:r>
            <w:r w:rsidRPr="001C12BC">
              <w:t>in valabilitatea avizele/autoriza</w:t>
            </w:r>
            <w:r w:rsidRPr="001C12BC">
              <w:rPr>
                <w:rFonts w:ascii="Tahoma" w:hAnsi="Tahoma" w:cs="Tahoma"/>
              </w:rPr>
              <w:t>ț</w:t>
            </w:r>
            <w:r w:rsidRPr="001C12BC">
              <w:t>iile privind distribu</w:t>
            </w:r>
            <w:r w:rsidRPr="001C12BC">
              <w:rPr>
                <w:rFonts w:ascii="Tahoma" w:hAnsi="Tahoma" w:cs="Tahoma"/>
              </w:rPr>
              <w:t>ț</w:t>
            </w:r>
            <w:r w:rsidRPr="001C12BC">
              <w:t>ia aparatelor de marcat electronice fiscale dotate cu rolă jurnal, în spe</w:t>
            </w:r>
            <w:r w:rsidRPr="001C12BC">
              <w:rPr>
                <w:rFonts w:ascii="Tahoma" w:hAnsi="Tahoma" w:cs="Tahoma"/>
              </w:rPr>
              <w:t>ț</w:t>
            </w:r>
            <w:r w:rsidRPr="001C12BC">
              <w:t>ă data de 30 aprilie   2018 ;</w:t>
            </w:r>
          </w:p>
          <w:p w:rsidR="00150C8E" w:rsidRPr="001C12BC" w:rsidRDefault="00150C8E" w:rsidP="00462899">
            <w:pPr>
              <w:pStyle w:val="ListParagraph"/>
              <w:numPr>
                <w:ilvl w:val="0"/>
                <w:numId w:val="17"/>
              </w:numPr>
              <w:ind w:left="4" w:firstLine="283"/>
              <w:jc w:val="both"/>
            </w:pPr>
            <w:r w:rsidRPr="001C12BC">
              <w:t>Aplicarea unei sanc</w:t>
            </w:r>
            <w:r w:rsidRPr="001C12BC">
              <w:rPr>
                <w:rFonts w:ascii="Tahoma" w:hAnsi="Tahoma" w:cs="Tahoma"/>
              </w:rPr>
              <w:t>ț</w:t>
            </w:r>
            <w:r w:rsidRPr="001C12BC">
              <w:t>iuni pentru comercializarea de către distribuitorii autoriza</w:t>
            </w:r>
            <w:r w:rsidRPr="001C12BC">
              <w:rPr>
                <w:rFonts w:ascii="Tahoma" w:hAnsi="Tahoma" w:cs="Tahoma"/>
              </w:rPr>
              <w:t>ț</w:t>
            </w:r>
            <w:r w:rsidRPr="001C12BC">
              <w:t>i, sau de către unită</w:t>
            </w:r>
            <w:r w:rsidRPr="001C12BC">
              <w:rPr>
                <w:rFonts w:ascii="Tahoma" w:hAnsi="Tahoma" w:cs="Tahoma"/>
              </w:rPr>
              <w:t>ț</w:t>
            </w:r>
            <w:r w:rsidRPr="001C12BC">
              <w:t>ile din re</w:t>
            </w:r>
            <w:r w:rsidRPr="001C12BC">
              <w:rPr>
                <w:rFonts w:ascii="Tahoma" w:hAnsi="Tahoma" w:cs="Tahoma"/>
              </w:rPr>
              <w:t>ț</w:t>
            </w:r>
            <w:r w:rsidRPr="001C12BC">
              <w:t xml:space="preserve">eaua acestora acreditate pentru comercializare a aparatelor de marcat electronice fiscale dotate cu rolă jurnal, începând cu data de 1 mai 2018.  </w:t>
            </w:r>
          </w:p>
          <w:p w:rsidR="00150C8E" w:rsidRPr="001C12BC" w:rsidRDefault="00150C8E" w:rsidP="00EB2C8F">
            <w:pPr>
              <w:pStyle w:val="ListParagraph"/>
              <w:numPr>
                <w:ilvl w:val="0"/>
                <w:numId w:val="12"/>
              </w:numPr>
              <w:autoSpaceDE w:val="0"/>
              <w:autoSpaceDN w:val="0"/>
              <w:adjustRightInd w:val="0"/>
              <w:ind w:left="0" w:firstLine="287"/>
              <w:jc w:val="both"/>
              <w:rPr>
                <w:lang w:val="en-US"/>
              </w:rPr>
            </w:pPr>
            <w:r w:rsidRPr="001C12BC">
              <w:rPr>
                <w:lang w:val="en-US"/>
              </w:rPr>
              <w:t>Până la data de 1 iunie 2018, prin ordin al pre</w:t>
            </w:r>
            <w:r w:rsidRPr="001C12BC">
              <w:rPr>
                <w:rFonts w:ascii="Tahoma" w:hAnsi="Tahoma" w:cs="Tahoma"/>
                <w:lang w:val="en-US"/>
              </w:rPr>
              <w:t>ș</w:t>
            </w:r>
            <w:r w:rsidRPr="001C12BC">
              <w:rPr>
                <w:lang w:val="en-US"/>
              </w:rPr>
              <w:t xml:space="preserve">edintelui Agenţiei Naţionale de Administrare Fiscală, se aprobă procedura de conectare a aparatelor de marcat electronice fiscale, precum </w:t>
            </w:r>
            <w:r w:rsidRPr="001C12BC">
              <w:rPr>
                <w:rFonts w:ascii="Tahoma" w:hAnsi="Tahoma" w:cs="Tahoma"/>
                <w:lang w:val="en-US"/>
              </w:rPr>
              <w:t>ș</w:t>
            </w:r>
            <w:r w:rsidRPr="001C12BC">
              <w:rPr>
                <w:lang w:val="en-US"/>
              </w:rPr>
              <w:t xml:space="preserve">i data începând cu care acestea se conectează la sistemul informatic naţional de supraveghere şi monitorizare a datelor fiscale. </w:t>
            </w:r>
          </w:p>
          <w:p w:rsidR="00150C8E" w:rsidRPr="001C12BC" w:rsidRDefault="00150C8E" w:rsidP="00AD6627">
            <w:pPr>
              <w:pStyle w:val="ListParagraph"/>
              <w:tabs>
                <w:tab w:val="left" w:pos="145"/>
              </w:tabs>
              <w:spacing w:after="160" w:line="259" w:lineRule="auto"/>
              <w:ind w:left="4" w:firstLine="567"/>
              <w:jc w:val="both"/>
            </w:pPr>
          </w:p>
          <w:p w:rsidR="00150C8E" w:rsidRPr="001C12BC" w:rsidRDefault="00150C8E" w:rsidP="00AD6627">
            <w:pPr>
              <w:pStyle w:val="ListParagraph"/>
              <w:numPr>
                <w:ilvl w:val="0"/>
                <w:numId w:val="17"/>
              </w:numPr>
              <w:ind w:left="4" w:firstLine="567"/>
              <w:jc w:val="both"/>
            </w:pPr>
            <w:r w:rsidRPr="001C12BC">
              <w:t xml:space="preserve"> De asemenea, se modifică unele dispozi</w:t>
            </w:r>
            <w:r w:rsidRPr="001C12BC">
              <w:rPr>
                <w:rFonts w:ascii="Tahoma" w:hAnsi="Tahoma" w:cs="Tahoma"/>
              </w:rPr>
              <w:t>ț</w:t>
            </w:r>
            <w:r w:rsidRPr="001C12BC">
              <w:t>ii privind sanc</w:t>
            </w:r>
            <w:r w:rsidRPr="001C12BC">
              <w:rPr>
                <w:rFonts w:ascii="Tahoma" w:hAnsi="Tahoma" w:cs="Tahoma"/>
              </w:rPr>
              <w:t>ț</w:t>
            </w:r>
            <w:r w:rsidRPr="001C12BC">
              <w:t>iunile contraven</w:t>
            </w:r>
            <w:r w:rsidRPr="001C12BC">
              <w:rPr>
                <w:rFonts w:ascii="Tahoma" w:hAnsi="Tahoma" w:cs="Tahoma"/>
              </w:rPr>
              <w:t>ț</w:t>
            </w:r>
            <w:r w:rsidRPr="001C12BC">
              <w:t>ionale, în sensul</w:t>
            </w:r>
          </w:p>
          <w:p w:rsidR="00150C8E" w:rsidRPr="001C12BC" w:rsidRDefault="00150C8E" w:rsidP="00187311">
            <w:pPr>
              <w:pStyle w:val="ListParagraph"/>
              <w:ind w:left="429"/>
              <w:jc w:val="both"/>
            </w:pPr>
          </w:p>
          <w:p w:rsidR="00150C8E" w:rsidRPr="001C12BC" w:rsidRDefault="00150C8E" w:rsidP="006332AC">
            <w:pPr>
              <w:pStyle w:val="ListParagraph"/>
              <w:numPr>
                <w:ilvl w:val="0"/>
                <w:numId w:val="18"/>
              </w:numPr>
              <w:ind w:left="4" w:firstLine="425"/>
              <w:jc w:val="both"/>
            </w:pPr>
            <w:r w:rsidRPr="001C12BC">
              <w:t>contopirii unor contraven</w:t>
            </w:r>
            <w:r w:rsidRPr="001C12BC">
              <w:rPr>
                <w:rFonts w:ascii="Tahoma" w:hAnsi="Tahoma" w:cs="Tahoma"/>
              </w:rPr>
              <w:t>ț</w:t>
            </w:r>
            <w:r w:rsidRPr="001C12BC">
              <w:t>ii, în scopul punerii în acord a prevederilor legale cu jurispruden</w:t>
            </w:r>
            <w:r w:rsidRPr="001C12BC">
              <w:rPr>
                <w:rFonts w:ascii="Tahoma" w:hAnsi="Tahoma" w:cs="Tahoma"/>
              </w:rPr>
              <w:t>ț</w:t>
            </w:r>
            <w:r w:rsidRPr="001C12BC">
              <w:t>a din domeniu</w:t>
            </w:r>
            <w:r w:rsidRPr="001C12BC">
              <w:rPr>
                <w:lang w:val="en-US"/>
              </w:rPr>
              <w:t>;</w:t>
            </w:r>
          </w:p>
          <w:p w:rsidR="00150C8E" w:rsidRPr="001C12BC" w:rsidRDefault="00150C8E" w:rsidP="006332AC">
            <w:pPr>
              <w:pStyle w:val="ListParagraph"/>
              <w:numPr>
                <w:ilvl w:val="0"/>
                <w:numId w:val="18"/>
              </w:numPr>
              <w:ind w:left="4" w:firstLine="425"/>
              <w:jc w:val="both"/>
            </w:pPr>
            <w:r w:rsidRPr="001C12BC">
              <w:t>reanalizării cuantumului unor sanc</w:t>
            </w:r>
            <w:r w:rsidRPr="001C12BC">
              <w:rPr>
                <w:rFonts w:ascii="Tahoma" w:hAnsi="Tahoma" w:cs="Tahoma"/>
              </w:rPr>
              <w:t>ț</w:t>
            </w:r>
            <w:r w:rsidRPr="001C12BC">
              <w:t>iuni contraven</w:t>
            </w:r>
            <w:r w:rsidRPr="001C12BC">
              <w:rPr>
                <w:rFonts w:ascii="Tahoma" w:hAnsi="Tahoma" w:cs="Tahoma"/>
              </w:rPr>
              <w:t>ț</w:t>
            </w:r>
            <w:r w:rsidRPr="001C12BC">
              <w:t>ionale, din perspectiva gradului de pericol social al faptei săvâr</w:t>
            </w:r>
            <w:r w:rsidRPr="001C12BC">
              <w:rPr>
                <w:rFonts w:ascii="Tahoma" w:hAnsi="Tahoma" w:cs="Tahoma"/>
              </w:rPr>
              <w:t>ș</w:t>
            </w:r>
            <w:r w:rsidRPr="001C12BC">
              <w:t>ite;</w:t>
            </w:r>
          </w:p>
          <w:p w:rsidR="00150C8E" w:rsidRPr="001C12BC" w:rsidRDefault="00150C8E" w:rsidP="006332AC">
            <w:pPr>
              <w:pStyle w:val="ListParagraph"/>
              <w:numPr>
                <w:ilvl w:val="0"/>
                <w:numId w:val="18"/>
              </w:numPr>
              <w:ind w:left="4" w:firstLine="425"/>
              <w:jc w:val="both"/>
            </w:pPr>
            <w:r w:rsidRPr="001C12BC">
              <w:t>individualizării unor sanc</w:t>
            </w:r>
            <w:r w:rsidRPr="001C12BC">
              <w:rPr>
                <w:rFonts w:ascii="Tahoma" w:hAnsi="Tahoma" w:cs="Tahoma"/>
              </w:rPr>
              <w:t>ț</w:t>
            </w:r>
            <w:r w:rsidRPr="001C12BC">
              <w:t>iuni contraven</w:t>
            </w:r>
            <w:r w:rsidRPr="001C12BC">
              <w:rPr>
                <w:rFonts w:ascii="Tahoma" w:hAnsi="Tahoma" w:cs="Tahoma"/>
              </w:rPr>
              <w:t>ț</w:t>
            </w:r>
            <w:r w:rsidRPr="001C12BC">
              <w:t>ionale prin raportare la două praguri de semnifica</w:t>
            </w:r>
            <w:r w:rsidRPr="001C12BC">
              <w:rPr>
                <w:rFonts w:ascii="Tahoma" w:hAnsi="Tahoma" w:cs="Tahoma"/>
              </w:rPr>
              <w:t>ț</w:t>
            </w:r>
            <w:r w:rsidRPr="001C12BC">
              <w:t>ie, în scopul asigurării transparen</w:t>
            </w:r>
            <w:r w:rsidRPr="001C12BC">
              <w:rPr>
                <w:rFonts w:ascii="Tahoma" w:hAnsi="Tahoma" w:cs="Tahoma"/>
              </w:rPr>
              <w:t>ț</w:t>
            </w:r>
            <w:r w:rsidRPr="001C12BC">
              <w:t>ei deciziilor luate de către agentul constatator;</w:t>
            </w:r>
          </w:p>
          <w:p w:rsidR="00150C8E" w:rsidRPr="001C12BC" w:rsidRDefault="00150C8E" w:rsidP="00DA0090">
            <w:pPr>
              <w:pStyle w:val="ListParagraph"/>
              <w:numPr>
                <w:ilvl w:val="0"/>
                <w:numId w:val="18"/>
              </w:numPr>
              <w:ind w:left="4" w:firstLine="425"/>
              <w:jc w:val="both"/>
            </w:pPr>
            <w:r w:rsidRPr="001C12BC">
              <w:t>excluderea, în anumite condi</w:t>
            </w:r>
            <w:r w:rsidRPr="001C12BC">
              <w:rPr>
                <w:rFonts w:ascii="Tahoma" w:hAnsi="Tahoma" w:cs="Tahoma"/>
              </w:rPr>
              <w:t>ț</w:t>
            </w:r>
            <w:r w:rsidRPr="001C12BC">
              <w:t>ii, a posibilită</w:t>
            </w:r>
            <w:r w:rsidRPr="001C12BC">
              <w:rPr>
                <w:rFonts w:ascii="Tahoma" w:hAnsi="Tahoma" w:cs="Tahoma"/>
              </w:rPr>
              <w:t>ț</w:t>
            </w:r>
            <w:r w:rsidRPr="001C12BC">
              <w:t>ii de a achita pe loc sau în termen de 48 de ore de la data încheierii procesului- verbal, ori după caz de la data comunicării acestuia, a jumătate din minimul amenzii, în scopul de a descuraja operatorii economici să mai repete săvâr</w:t>
            </w:r>
            <w:r w:rsidRPr="001C12BC">
              <w:rPr>
                <w:rFonts w:ascii="Tahoma" w:hAnsi="Tahoma" w:cs="Tahoma"/>
              </w:rPr>
              <w:t>ș</w:t>
            </w:r>
            <w:r w:rsidRPr="001C12BC">
              <w:t>irea aceleia</w:t>
            </w:r>
            <w:r w:rsidRPr="001C12BC">
              <w:rPr>
                <w:rFonts w:ascii="Tahoma" w:hAnsi="Tahoma" w:cs="Tahoma"/>
              </w:rPr>
              <w:t>ș</w:t>
            </w:r>
            <w:r w:rsidRPr="001C12BC">
              <w:t>i contraven</w:t>
            </w:r>
            <w:r w:rsidRPr="001C12BC">
              <w:rPr>
                <w:rFonts w:ascii="Tahoma" w:hAnsi="Tahoma" w:cs="Tahoma"/>
              </w:rPr>
              <w:t>ț</w:t>
            </w:r>
            <w:r w:rsidRPr="001C12BC">
              <w:t>ii într-o anumită perioadă de timp.</w:t>
            </w:r>
          </w:p>
          <w:p w:rsidR="00150C8E" w:rsidRPr="001C12BC" w:rsidRDefault="00150C8E" w:rsidP="00E450B6">
            <w:pPr>
              <w:jc w:val="both"/>
            </w:pPr>
          </w:p>
          <w:p w:rsidR="00150C8E" w:rsidRPr="001C12BC" w:rsidRDefault="00150C8E" w:rsidP="009702AC">
            <w:pPr>
              <w:jc w:val="both"/>
            </w:pPr>
            <w:r w:rsidRPr="001C12BC">
              <w:rPr>
                <w:lang w:val="en-US"/>
              </w:rPr>
              <w:t xml:space="preserve">       </w:t>
            </w:r>
          </w:p>
        </w:tc>
      </w:tr>
      <w:tr w:rsidR="00150C8E" w:rsidRPr="001C12BC">
        <w:tc>
          <w:tcPr>
            <w:tcW w:w="3708" w:type="dxa"/>
            <w:gridSpan w:val="2"/>
          </w:tcPr>
          <w:p w:rsidR="00150C8E" w:rsidRPr="001C12BC" w:rsidRDefault="00150C8E" w:rsidP="00ED6942">
            <w:pPr>
              <w:jc w:val="both"/>
            </w:pPr>
            <w:r w:rsidRPr="001C12BC">
              <w:t>3. Alte informaţii</w:t>
            </w:r>
          </w:p>
        </w:tc>
        <w:tc>
          <w:tcPr>
            <w:tcW w:w="6594" w:type="dxa"/>
            <w:gridSpan w:val="9"/>
          </w:tcPr>
          <w:p w:rsidR="00150C8E" w:rsidRPr="001C12BC" w:rsidRDefault="00150C8E" w:rsidP="00ED6942">
            <w:pPr>
              <w:jc w:val="both"/>
            </w:pPr>
            <w:r w:rsidRPr="001C12BC">
              <w:t xml:space="preserve">Nu este cazul. </w:t>
            </w:r>
          </w:p>
        </w:tc>
      </w:tr>
      <w:tr w:rsidR="00150C8E" w:rsidRPr="001C12BC">
        <w:tc>
          <w:tcPr>
            <w:tcW w:w="10302" w:type="dxa"/>
            <w:gridSpan w:val="11"/>
          </w:tcPr>
          <w:p w:rsidR="00150C8E" w:rsidRPr="001C12BC" w:rsidRDefault="00150C8E" w:rsidP="00ED6942">
            <w:pPr>
              <w:jc w:val="center"/>
              <w:rPr>
                <w:b/>
                <w:bCs/>
              </w:rPr>
            </w:pPr>
          </w:p>
          <w:p w:rsidR="00150C8E" w:rsidRPr="001C12BC" w:rsidRDefault="00150C8E" w:rsidP="00ED6942">
            <w:pPr>
              <w:jc w:val="center"/>
              <w:rPr>
                <w:b/>
                <w:bCs/>
              </w:rPr>
            </w:pPr>
          </w:p>
          <w:p w:rsidR="00150C8E" w:rsidRPr="001C12BC" w:rsidRDefault="00150C8E" w:rsidP="00ED6942">
            <w:pPr>
              <w:jc w:val="center"/>
              <w:rPr>
                <w:b/>
                <w:bCs/>
                <w:i/>
                <w:iCs/>
              </w:rPr>
            </w:pPr>
            <w:r w:rsidRPr="001C12BC">
              <w:rPr>
                <w:b/>
                <w:bCs/>
                <w:i/>
                <w:iCs/>
              </w:rPr>
              <w:t>Secţiunea a 3-a</w:t>
            </w:r>
          </w:p>
          <w:p w:rsidR="00150C8E" w:rsidRPr="001C12BC" w:rsidRDefault="00150C8E" w:rsidP="00ED6942">
            <w:pPr>
              <w:jc w:val="center"/>
              <w:rPr>
                <w:b/>
                <w:bCs/>
                <w:i/>
                <w:iCs/>
              </w:rPr>
            </w:pPr>
            <w:r w:rsidRPr="001C12BC">
              <w:rPr>
                <w:b/>
                <w:bCs/>
                <w:i/>
                <w:iCs/>
              </w:rPr>
              <w:t>Impactul socioeconomic al proiectului de act normativ</w:t>
            </w:r>
          </w:p>
          <w:p w:rsidR="00150C8E" w:rsidRPr="001C12BC" w:rsidRDefault="00150C8E" w:rsidP="00ED6942">
            <w:pPr>
              <w:jc w:val="both"/>
              <w:rPr>
                <w:b/>
                <w:bCs/>
              </w:rPr>
            </w:pPr>
          </w:p>
        </w:tc>
      </w:tr>
      <w:tr w:rsidR="00150C8E" w:rsidRPr="001C12BC">
        <w:tc>
          <w:tcPr>
            <w:tcW w:w="3947" w:type="dxa"/>
            <w:gridSpan w:val="4"/>
          </w:tcPr>
          <w:p w:rsidR="00150C8E" w:rsidRPr="001C12BC" w:rsidRDefault="00150C8E" w:rsidP="00ED6942">
            <w:pPr>
              <w:jc w:val="both"/>
            </w:pPr>
            <w:r w:rsidRPr="001C12BC">
              <w:t>1. Impactul macroeconomic</w:t>
            </w:r>
          </w:p>
        </w:tc>
        <w:tc>
          <w:tcPr>
            <w:tcW w:w="6355" w:type="dxa"/>
            <w:gridSpan w:val="7"/>
          </w:tcPr>
          <w:p w:rsidR="00150C8E" w:rsidRPr="001C12BC" w:rsidRDefault="00150C8E" w:rsidP="00BD6B40">
            <w:r w:rsidRPr="001C12BC">
              <w:t>Proiectul de act normativ nu se referă la acest subiect.</w:t>
            </w:r>
          </w:p>
        </w:tc>
      </w:tr>
      <w:tr w:rsidR="00150C8E" w:rsidRPr="001C12BC">
        <w:tc>
          <w:tcPr>
            <w:tcW w:w="3947" w:type="dxa"/>
            <w:gridSpan w:val="4"/>
          </w:tcPr>
          <w:p w:rsidR="00150C8E" w:rsidRPr="001C12BC" w:rsidRDefault="00150C8E" w:rsidP="00ED6942">
            <w:pPr>
              <w:jc w:val="both"/>
            </w:pPr>
            <w:r w:rsidRPr="001C12BC">
              <w:t>1</w:t>
            </w:r>
            <w:r w:rsidRPr="001C12BC">
              <w:rPr>
                <w:vertAlign w:val="superscript"/>
              </w:rPr>
              <w:t>1</w:t>
            </w:r>
            <w:r w:rsidRPr="001C12BC">
              <w:t>. Impactul asupra mediului concurenţial şi domeniului ajutoarelor de stat</w:t>
            </w:r>
          </w:p>
        </w:tc>
        <w:tc>
          <w:tcPr>
            <w:tcW w:w="6355" w:type="dxa"/>
            <w:gridSpan w:val="7"/>
          </w:tcPr>
          <w:p w:rsidR="00150C8E" w:rsidRPr="001C12BC" w:rsidRDefault="00150C8E" w:rsidP="00BD6B40">
            <w:r w:rsidRPr="001C12BC">
              <w:t>Proiectul de act normativ nu se referă la acest subiect.</w:t>
            </w:r>
          </w:p>
        </w:tc>
      </w:tr>
      <w:tr w:rsidR="00150C8E" w:rsidRPr="001C12BC">
        <w:tc>
          <w:tcPr>
            <w:tcW w:w="3947" w:type="dxa"/>
            <w:gridSpan w:val="4"/>
          </w:tcPr>
          <w:p w:rsidR="00150C8E" w:rsidRPr="001C12BC" w:rsidRDefault="00150C8E" w:rsidP="00ED6942">
            <w:pPr>
              <w:jc w:val="both"/>
            </w:pPr>
            <w:r w:rsidRPr="001C12BC">
              <w:t>2. Impactul asupra mediului de afaceri</w:t>
            </w:r>
          </w:p>
        </w:tc>
        <w:tc>
          <w:tcPr>
            <w:tcW w:w="6355" w:type="dxa"/>
            <w:gridSpan w:val="7"/>
          </w:tcPr>
          <w:p w:rsidR="00150C8E" w:rsidRPr="001C12BC" w:rsidRDefault="00150C8E" w:rsidP="00BD6B40">
            <w:r w:rsidRPr="001C12BC">
              <w:t>Proiectul de act normativ nu se referă la acest subiect.</w:t>
            </w:r>
          </w:p>
        </w:tc>
      </w:tr>
      <w:tr w:rsidR="00150C8E" w:rsidRPr="001C12BC">
        <w:tc>
          <w:tcPr>
            <w:tcW w:w="3947" w:type="dxa"/>
            <w:gridSpan w:val="4"/>
          </w:tcPr>
          <w:p w:rsidR="00150C8E" w:rsidRPr="001C12BC" w:rsidRDefault="00150C8E" w:rsidP="00421867">
            <w:pPr>
              <w:jc w:val="both"/>
            </w:pPr>
            <w:r w:rsidRPr="001C12BC">
              <w:t>2</w:t>
            </w:r>
            <w:r w:rsidRPr="001C12BC">
              <w:rPr>
                <w:vertAlign w:val="superscript"/>
              </w:rPr>
              <w:t>1</w:t>
            </w:r>
            <w:r w:rsidRPr="001C12BC">
              <w:t>. Impactul asupra sarcinilor administrative</w:t>
            </w:r>
          </w:p>
        </w:tc>
        <w:tc>
          <w:tcPr>
            <w:tcW w:w="6355" w:type="dxa"/>
            <w:gridSpan w:val="7"/>
          </w:tcPr>
          <w:p w:rsidR="00150C8E" w:rsidRPr="001C12BC" w:rsidRDefault="00150C8E" w:rsidP="00421867">
            <w:r w:rsidRPr="001C12BC">
              <w:t>Proiectul de act normativ nu se referă la acest subiect.</w:t>
            </w:r>
          </w:p>
        </w:tc>
      </w:tr>
      <w:tr w:rsidR="00150C8E" w:rsidRPr="001C12BC">
        <w:tc>
          <w:tcPr>
            <w:tcW w:w="3947" w:type="dxa"/>
            <w:gridSpan w:val="4"/>
          </w:tcPr>
          <w:p w:rsidR="00150C8E" w:rsidRPr="001C12BC" w:rsidRDefault="00150C8E" w:rsidP="00E42A5A">
            <w:pPr>
              <w:jc w:val="both"/>
            </w:pPr>
            <w:r w:rsidRPr="001C12BC">
              <w:t>2</w:t>
            </w:r>
            <w:r w:rsidRPr="001C12BC">
              <w:rPr>
                <w:vertAlign w:val="superscript"/>
              </w:rPr>
              <w:t>2</w:t>
            </w:r>
            <w:r w:rsidRPr="001C12BC">
              <w:t xml:space="preserve">. Impactul asupra întreprinderilor mici </w:t>
            </w:r>
            <w:r w:rsidRPr="001C12BC">
              <w:rPr>
                <w:rFonts w:ascii="Tahoma" w:hAnsi="Tahoma" w:cs="Tahoma"/>
              </w:rPr>
              <w:t>ș</w:t>
            </w:r>
            <w:r w:rsidRPr="001C12BC">
              <w:t>i mijlocii</w:t>
            </w:r>
          </w:p>
        </w:tc>
        <w:tc>
          <w:tcPr>
            <w:tcW w:w="6355" w:type="dxa"/>
            <w:gridSpan w:val="7"/>
          </w:tcPr>
          <w:p w:rsidR="00150C8E" w:rsidRPr="001C12BC" w:rsidRDefault="00150C8E" w:rsidP="00E42A5A">
            <w:r w:rsidRPr="001C12BC">
              <w:t>Proiectul de act normativ nu se referă la acest subiect.</w:t>
            </w:r>
          </w:p>
        </w:tc>
      </w:tr>
      <w:tr w:rsidR="00150C8E" w:rsidRPr="001C12BC">
        <w:tc>
          <w:tcPr>
            <w:tcW w:w="3947" w:type="dxa"/>
            <w:gridSpan w:val="4"/>
          </w:tcPr>
          <w:p w:rsidR="00150C8E" w:rsidRPr="001C12BC" w:rsidRDefault="00150C8E" w:rsidP="00E42A5A">
            <w:pPr>
              <w:jc w:val="both"/>
            </w:pPr>
            <w:r w:rsidRPr="001C12BC">
              <w:t>3. Impactul social</w:t>
            </w:r>
          </w:p>
        </w:tc>
        <w:tc>
          <w:tcPr>
            <w:tcW w:w="6355" w:type="dxa"/>
            <w:gridSpan w:val="7"/>
          </w:tcPr>
          <w:p w:rsidR="00150C8E" w:rsidRPr="001C12BC" w:rsidRDefault="00150C8E" w:rsidP="00E42A5A">
            <w:r w:rsidRPr="001C12BC">
              <w:t>Proiectul de act normativ nu se referă la acest subiect.</w:t>
            </w:r>
          </w:p>
        </w:tc>
      </w:tr>
      <w:tr w:rsidR="00150C8E" w:rsidRPr="001C12BC">
        <w:tc>
          <w:tcPr>
            <w:tcW w:w="3947" w:type="dxa"/>
            <w:gridSpan w:val="4"/>
          </w:tcPr>
          <w:p w:rsidR="00150C8E" w:rsidRPr="001C12BC" w:rsidRDefault="00150C8E" w:rsidP="00E42A5A">
            <w:pPr>
              <w:jc w:val="both"/>
            </w:pPr>
            <w:r w:rsidRPr="001C12BC">
              <w:t>4. Impactul asupra mediului</w:t>
            </w:r>
          </w:p>
        </w:tc>
        <w:tc>
          <w:tcPr>
            <w:tcW w:w="6355" w:type="dxa"/>
            <w:gridSpan w:val="7"/>
          </w:tcPr>
          <w:p w:rsidR="00150C8E" w:rsidRPr="001C12BC" w:rsidRDefault="00150C8E" w:rsidP="00E42A5A">
            <w:r w:rsidRPr="001C12BC">
              <w:t>Proiectul de act normativ nu se referă la acest subiect.</w:t>
            </w:r>
          </w:p>
        </w:tc>
      </w:tr>
      <w:tr w:rsidR="00150C8E" w:rsidRPr="001C12BC">
        <w:tc>
          <w:tcPr>
            <w:tcW w:w="3947" w:type="dxa"/>
            <w:gridSpan w:val="4"/>
          </w:tcPr>
          <w:p w:rsidR="00150C8E" w:rsidRPr="001C12BC" w:rsidRDefault="00150C8E" w:rsidP="00E42A5A">
            <w:pPr>
              <w:jc w:val="both"/>
            </w:pPr>
            <w:r w:rsidRPr="001C12BC">
              <w:t>5. Alte informaţii</w:t>
            </w:r>
          </w:p>
        </w:tc>
        <w:tc>
          <w:tcPr>
            <w:tcW w:w="6355" w:type="dxa"/>
            <w:gridSpan w:val="7"/>
          </w:tcPr>
          <w:p w:rsidR="00150C8E" w:rsidRPr="001C12BC" w:rsidRDefault="00150C8E" w:rsidP="00E42A5A">
            <w:r w:rsidRPr="001C12BC">
              <w:t>Proiectul de act normativ nu se referă la acest subiect.</w:t>
            </w:r>
          </w:p>
        </w:tc>
      </w:tr>
      <w:tr w:rsidR="00150C8E" w:rsidRPr="001C12BC">
        <w:tc>
          <w:tcPr>
            <w:tcW w:w="10302" w:type="dxa"/>
            <w:gridSpan w:val="11"/>
          </w:tcPr>
          <w:p w:rsidR="00150C8E" w:rsidRPr="001C12BC" w:rsidRDefault="00150C8E" w:rsidP="00E42A5A">
            <w:pPr>
              <w:rPr>
                <w:b/>
                <w:bCs/>
              </w:rPr>
            </w:pPr>
          </w:p>
          <w:p w:rsidR="00150C8E" w:rsidRPr="001C12BC" w:rsidRDefault="00150C8E" w:rsidP="00E42A5A">
            <w:pPr>
              <w:jc w:val="center"/>
              <w:rPr>
                <w:b/>
                <w:bCs/>
                <w:i/>
                <w:iCs/>
              </w:rPr>
            </w:pPr>
            <w:r w:rsidRPr="001C12BC">
              <w:rPr>
                <w:b/>
                <w:bCs/>
                <w:i/>
                <w:iCs/>
              </w:rPr>
              <w:t>Secţiunea a 4-a</w:t>
            </w:r>
          </w:p>
          <w:p w:rsidR="00150C8E" w:rsidRPr="001C12BC" w:rsidRDefault="00150C8E" w:rsidP="00E42A5A">
            <w:pPr>
              <w:jc w:val="center"/>
              <w:rPr>
                <w:b/>
                <w:bCs/>
                <w:i/>
                <w:iCs/>
              </w:rPr>
            </w:pPr>
            <w:r w:rsidRPr="001C12BC">
              <w:rPr>
                <w:b/>
                <w:bCs/>
                <w:i/>
                <w:iCs/>
              </w:rPr>
              <w:t>Impactul financiar asupra bugetului general consolidat, atât pe termen scurt, pentru anul curent, cât şi pe termen lung (pe 5 ani)</w:t>
            </w:r>
          </w:p>
          <w:p w:rsidR="00150C8E" w:rsidRPr="001C12BC" w:rsidRDefault="00150C8E" w:rsidP="00E42A5A">
            <w:pPr>
              <w:jc w:val="center"/>
              <w:rPr>
                <w:b/>
                <w:bCs/>
              </w:rPr>
            </w:pPr>
          </w:p>
        </w:tc>
      </w:tr>
      <w:tr w:rsidR="00150C8E" w:rsidRPr="001C12BC">
        <w:tc>
          <w:tcPr>
            <w:tcW w:w="10302" w:type="dxa"/>
            <w:gridSpan w:val="11"/>
          </w:tcPr>
          <w:p w:rsidR="00150C8E" w:rsidRPr="001C12BC" w:rsidRDefault="00150C8E" w:rsidP="00E42A5A">
            <w:pPr>
              <w:numPr>
                <w:ilvl w:val="0"/>
                <w:numId w:val="5"/>
              </w:numPr>
              <w:jc w:val="center"/>
            </w:pPr>
            <w:r w:rsidRPr="001C12BC">
              <w:t>mii lei –</w:t>
            </w:r>
          </w:p>
        </w:tc>
      </w:tr>
      <w:tr w:rsidR="00150C8E" w:rsidRPr="001C12BC">
        <w:tc>
          <w:tcPr>
            <w:tcW w:w="3936" w:type="dxa"/>
            <w:gridSpan w:val="3"/>
          </w:tcPr>
          <w:p w:rsidR="00150C8E" w:rsidRPr="001C12BC" w:rsidRDefault="00150C8E" w:rsidP="00E42A5A">
            <w:pPr>
              <w:jc w:val="center"/>
            </w:pPr>
            <w:r w:rsidRPr="001C12BC">
              <w:t>Indicatori</w:t>
            </w:r>
          </w:p>
        </w:tc>
        <w:tc>
          <w:tcPr>
            <w:tcW w:w="850" w:type="dxa"/>
            <w:gridSpan w:val="3"/>
          </w:tcPr>
          <w:p w:rsidR="00150C8E" w:rsidRPr="001C12BC" w:rsidRDefault="00150C8E" w:rsidP="00E42A5A">
            <w:pPr>
              <w:jc w:val="center"/>
            </w:pPr>
            <w:r w:rsidRPr="001C12BC">
              <w:t>Anul curent</w:t>
            </w:r>
          </w:p>
        </w:tc>
        <w:tc>
          <w:tcPr>
            <w:tcW w:w="4418" w:type="dxa"/>
            <w:gridSpan w:val="4"/>
          </w:tcPr>
          <w:p w:rsidR="00150C8E" w:rsidRPr="001C12BC" w:rsidRDefault="00150C8E" w:rsidP="00E42A5A">
            <w:pPr>
              <w:jc w:val="center"/>
            </w:pPr>
            <w:r w:rsidRPr="001C12BC">
              <w:t>Următorii 4 ani</w:t>
            </w:r>
          </w:p>
        </w:tc>
        <w:tc>
          <w:tcPr>
            <w:tcW w:w="1098" w:type="dxa"/>
          </w:tcPr>
          <w:p w:rsidR="00150C8E" w:rsidRPr="001C12BC" w:rsidRDefault="00150C8E" w:rsidP="00E42A5A">
            <w:pPr>
              <w:jc w:val="center"/>
            </w:pPr>
            <w:r w:rsidRPr="001C12BC">
              <w:t>Media pe 5 ani</w:t>
            </w:r>
          </w:p>
        </w:tc>
      </w:tr>
      <w:tr w:rsidR="00150C8E" w:rsidRPr="001C12BC">
        <w:tc>
          <w:tcPr>
            <w:tcW w:w="3936" w:type="dxa"/>
            <w:gridSpan w:val="3"/>
          </w:tcPr>
          <w:p w:rsidR="00150C8E" w:rsidRPr="001C12BC" w:rsidRDefault="00150C8E" w:rsidP="00E42A5A">
            <w:pPr>
              <w:jc w:val="center"/>
            </w:pPr>
            <w:r w:rsidRPr="001C12BC">
              <w:t>1</w:t>
            </w:r>
          </w:p>
        </w:tc>
        <w:tc>
          <w:tcPr>
            <w:tcW w:w="850" w:type="dxa"/>
            <w:gridSpan w:val="3"/>
          </w:tcPr>
          <w:p w:rsidR="00150C8E" w:rsidRPr="001C12BC" w:rsidRDefault="00150C8E" w:rsidP="00E42A5A">
            <w:pPr>
              <w:jc w:val="center"/>
            </w:pPr>
            <w:r w:rsidRPr="001C12BC">
              <w:t>2</w:t>
            </w:r>
          </w:p>
        </w:tc>
        <w:tc>
          <w:tcPr>
            <w:tcW w:w="992" w:type="dxa"/>
          </w:tcPr>
          <w:p w:rsidR="00150C8E" w:rsidRPr="001C12BC" w:rsidRDefault="00150C8E" w:rsidP="00E42A5A">
            <w:pPr>
              <w:jc w:val="center"/>
            </w:pPr>
            <w:r w:rsidRPr="001C12BC">
              <w:t>3</w:t>
            </w:r>
          </w:p>
        </w:tc>
        <w:tc>
          <w:tcPr>
            <w:tcW w:w="1134" w:type="dxa"/>
          </w:tcPr>
          <w:p w:rsidR="00150C8E" w:rsidRPr="001C12BC" w:rsidRDefault="00150C8E" w:rsidP="00E42A5A">
            <w:pPr>
              <w:jc w:val="center"/>
            </w:pPr>
            <w:r w:rsidRPr="001C12BC">
              <w:t>4</w:t>
            </w:r>
          </w:p>
        </w:tc>
        <w:tc>
          <w:tcPr>
            <w:tcW w:w="1134" w:type="dxa"/>
          </w:tcPr>
          <w:p w:rsidR="00150C8E" w:rsidRPr="001C12BC" w:rsidRDefault="00150C8E" w:rsidP="00E42A5A">
            <w:pPr>
              <w:jc w:val="center"/>
            </w:pPr>
            <w:r w:rsidRPr="001C12BC">
              <w:t>5</w:t>
            </w:r>
          </w:p>
        </w:tc>
        <w:tc>
          <w:tcPr>
            <w:tcW w:w="1158" w:type="dxa"/>
          </w:tcPr>
          <w:p w:rsidR="00150C8E" w:rsidRPr="001C12BC" w:rsidRDefault="00150C8E" w:rsidP="00E42A5A">
            <w:pPr>
              <w:jc w:val="center"/>
            </w:pPr>
            <w:r w:rsidRPr="001C12BC">
              <w:t>6</w:t>
            </w:r>
          </w:p>
        </w:tc>
        <w:tc>
          <w:tcPr>
            <w:tcW w:w="1098" w:type="dxa"/>
          </w:tcPr>
          <w:p w:rsidR="00150C8E" w:rsidRPr="001C12BC" w:rsidRDefault="00150C8E" w:rsidP="00E42A5A">
            <w:pPr>
              <w:jc w:val="center"/>
            </w:pPr>
            <w:r w:rsidRPr="001C12BC">
              <w:t>7</w:t>
            </w:r>
          </w:p>
        </w:tc>
      </w:tr>
      <w:tr w:rsidR="00150C8E" w:rsidRPr="001C12BC">
        <w:trPr>
          <w:trHeight w:val="2620"/>
        </w:trPr>
        <w:tc>
          <w:tcPr>
            <w:tcW w:w="3936" w:type="dxa"/>
            <w:gridSpan w:val="3"/>
          </w:tcPr>
          <w:p w:rsidR="00150C8E" w:rsidRPr="001C12BC" w:rsidRDefault="00150C8E" w:rsidP="00E42A5A">
            <w:pPr>
              <w:jc w:val="both"/>
            </w:pPr>
            <w:r w:rsidRPr="001C12BC">
              <w:t xml:space="preserve">1. Modificări ale veniturilor bugetare, plus/minus, din care: </w:t>
            </w:r>
          </w:p>
          <w:p w:rsidR="00150C8E" w:rsidRPr="001C12BC" w:rsidRDefault="00150C8E" w:rsidP="00E42A5A">
            <w:pPr>
              <w:jc w:val="both"/>
            </w:pPr>
            <w:r w:rsidRPr="001C12BC">
              <w:t>a) buget de stat, din acesta:</w:t>
            </w:r>
          </w:p>
          <w:p w:rsidR="00150C8E" w:rsidRPr="001C12BC" w:rsidRDefault="00150C8E" w:rsidP="00E42A5A">
            <w:pPr>
              <w:jc w:val="both"/>
            </w:pPr>
            <w:r w:rsidRPr="001C12BC">
              <w:t>(i) impozit pe profit</w:t>
            </w:r>
          </w:p>
          <w:p w:rsidR="00150C8E" w:rsidRPr="001C12BC" w:rsidRDefault="00150C8E" w:rsidP="00E42A5A">
            <w:pPr>
              <w:jc w:val="both"/>
            </w:pPr>
            <w:r w:rsidRPr="001C12BC">
              <w:t>(ii) impozit pe venit</w:t>
            </w:r>
          </w:p>
          <w:p w:rsidR="00150C8E" w:rsidRPr="001C12BC" w:rsidRDefault="00150C8E" w:rsidP="00E42A5A">
            <w:pPr>
              <w:jc w:val="both"/>
            </w:pPr>
            <w:r w:rsidRPr="001C12BC">
              <w:t>b) bugete locale:</w:t>
            </w:r>
          </w:p>
          <w:p w:rsidR="00150C8E" w:rsidRPr="001C12BC" w:rsidRDefault="00150C8E" w:rsidP="00E42A5A">
            <w:pPr>
              <w:jc w:val="both"/>
            </w:pPr>
            <w:r w:rsidRPr="001C12BC">
              <w:t>(i) impozit pe profit</w:t>
            </w:r>
          </w:p>
          <w:p w:rsidR="00150C8E" w:rsidRPr="001C12BC" w:rsidRDefault="00150C8E" w:rsidP="00E42A5A">
            <w:pPr>
              <w:jc w:val="both"/>
            </w:pPr>
            <w:r w:rsidRPr="001C12BC">
              <w:t>c) bugetul asigurărilor sociale de stat:</w:t>
            </w:r>
          </w:p>
          <w:p w:rsidR="00150C8E" w:rsidRPr="001C12BC" w:rsidRDefault="00150C8E" w:rsidP="00E42A5A">
            <w:pPr>
              <w:jc w:val="both"/>
            </w:pPr>
            <w:r w:rsidRPr="001C12BC">
              <w:t>(i) contribuţii de asigurări</w:t>
            </w:r>
          </w:p>
        </w:tc>
        <w:tc>
          <w:tcPr>
            <w:tcW w:w="850" w:type="dxa"/>
            <w:gridSpan w:val="3"/>
          </w:tcPr>
          <w:p w:rsidR="00150C8E" w:rsidRPr="001C12BC" w:rsidRDefault="00150C8E" w:rsidP="00E42A5A">
            <w:pPr>
              <w:jc w:val="center"/>
            </w:pPr>
          </w:p>
        </w:tc>
        <w:tc>
          <w:tcPr>
            <w:tcW w:w="992" w:type="dxa"/>
          </w:tcPr>
          <w:p w:rsidR="00150C8E" w:rsidRPr="001C12BC" w:rsidRDefault="00150C8E" w:rsidP="00E42A5A">
            <w:pPr>
              <w:jc w:val="center"/>
              <w:rPr>
                <w:b/>
                <w:bCs/>
              </w:rPr>
            </w:pPr>
          </w:p>
        </w:tc>
        <w:tc>
          <w:tcPr>
            <w:tcW w:w="1134" w:type="dxa"/>
          </w:tcPr>
          <w:p w:rsidR="00150C8E" w:rsidRPr="001C12BC" w:rsidRDefault="00150C8E" w:rsidP="00E42A5A">
            <w:pPr>
              <w:jc w:val="center"/>
              <w:rPr>
                <w:b/>
                <w:bCs/>
              </w:rPr>
            </w:pPr>
          </w:p>
        </w:tc>
        <w:tc>
          <w:tcPr>
            <w:tcW w:w="1134" w:type="dxa"/>
          </w:tcPr>
          <w:p w:rsidR="00150C8E" w:rsidRPr="001C12BC" w:rsidRDefault="00150C8E" w:rsidP="00E42A5A">
            <w:pPr>
              <w:rPr>
                <w:b/>
                <w:bCs/>
              </w:rPr>
            </w:pPr>
          </w:p>
        </w:tc>
        <w:tc>
          <w:tcPr>
            <w:tcW w:w="1158" w:type="dxa"/>
          </w:tcPr>
          <w:p w:rsidR="00150C8E" w:rsidRPr="001C12BC" w:rsidRDefault="00150C8E" w:rsidP="00E42A5A">
            <w:pPr>
              <w:jc w:val="center"/>
              <w:rPr>
                <w:b/>
                <w:bCs/>
              </w:rPr>
            </w:pPr>
          </w:p>
        </w:tc>
        <w:tc>
          <w:tcPr>
            <w:tcW w:w="1098" w:type="dxa"/>
          </w:tcPr>
          <w:p w:rsidR="00150C8E" w:rsidRPr="001C12BC" w:rsidRDefault="00150C8E" w:rsidP="00E42A5A">
            <w:pPr>
              <w:jc w:val="center"/>
              <w:rPr>
                <w:b/>
                <w:bCs/>
              </w:rPr>
            </w:pPr>
          </w:p>
        </w:tc>
      </w:tr>
      <w:tr w:rsidR="00150C8E" w:rsidRPr="001C12BC">
        <w:trPr>
          <w:trHeight w:val="3109"/>
        </w:trPr>
        <w:tc>
          <w:tcPr>
            <w:tcW w:w="3936" w:type="dxa"/>
            <w:gridSpan w:val="3"/>
          </w:tcPr>
          <w:p w:rsidR="00150C8E" w:rsidRPr="001C12BC" w:rsidRDefault="00150C8E" w:rsidP="00E42A5A">
            <w:pPr>
              <w:jc w:val="both"/>
            </w:pPr>
            <w:r w:rsidRPr="001C12BC">
              <w:t>2. Modificări ale cheltuielilor bugetare, plus/minus, din care:</w:t>
            </w:r>
          </w:p>
          <w:p w:rsidR="00150C8E" w:rsidRPr="001C12BC" w:rsidRDefault="00150C8E" w:rsidP="00E42A5A">
            <w:pPr>
              <w:jc w:val="both"/>
            </w:pPr>
            <w:r w:rsidRPr="001C12BC">
              <w:t>a) buget de stat, din acesta:</w:t>
            </w:r>
          </w:p>
          <w:p w:rsidR="00150C8E" w:rsidRPr="001C12BC" w:rsidRDefault="00150C8E" w:rsidP="00E42A5A">
            <w:pPr>
              <w:jc w:val="both"/>
            </w:pPr>
            <w:r w:rsidRPr="001C12BC">
              <w:t>(i) cheltuieli de personal</w:t>
            </w:r>
          </w:p>
          <w:p w:rsidR="00150C8E" w:rsidRPr="001C12BC" w:rsidRDefault="00150C8E" w:rsidP="00E42A5A">
            <w:pPr>
              <w:jc w:val="both"/>
            </w:pPr>
            <w:r w:rsidRPr="001C12BC">
              <w:t>(ii) bunuri şi servicii</w:t>
            </w:r>
          </w:p>
          <w:p w:rsidR="00150C8E" w:rsidRPr="001C12BC" w:rsidRDefault="00150C8E" w:rsidP="00E42A5A">
            <w:pPr>
              <w:jc w:val="both"/>
            </w:pPr>
            <w:r w:rsidRPr="001C12BC">
              <w:t>b) bugete locale</w:t>
            </w:r>
          </w:p>
          <w:p w:rsidR="00150C8E" w:rsidRPr="001C12BC" w:rsidRDefault="00150C8E" w:rsidP="00E42A5A">
            <w:pPr>
              <w:jc w:val="both"/>
            </w:pPr>
            <w:r w:rsidRPr="001C12BC">
              <w:t>(i) cheltuieli de personal</w:t>
            </w:r>
          </w:p>
          <w:p w:rsidR="00150C8E" w:rsidRPr="001C12BC" w:rsidRDefault="00150C8E" w:rsidP="00E42A5A">
            <w:pPr>
              <w:jc w:val="both"/>
            </w:pPr>
            <w:r w:rsidRPr="001C12BC">
              <w:t>(ii) bunuri şi servicii</w:t>
            </w:r>
          </w:p>
          <w:p w:rsidR="00150C8E" w:rsidRPr="001C12BC" w:rsidRDefault="00150C8E" w:rsidP="00E42A5A">
            <w:pPr>
              <w:jc w:val="both"/>
            </w:pPr>
            <w:r w:rsidRPr="001C12BC">
              <w:t>c) bugetul asigurărilor sociale de stat:</w:t>
            </w:r>
          </w:p>
          <w:p w:rsidR="00150C8E" w:rsidRPr="001C12BC" w:rsidRDefault="00150C8E" w:rsidP="00E42A5A">
            <w:pPr>
              <w:jc w:val="both"/>
            </w:pPr>
            <w:r w:rsidRPr="001C12BC">
              <w:t>(i) cheltuieli de personal</w:t>
            </w:r>
          </w:p>
          <w:p w:rsidR="00150C8E" w:rsidRPr="001C12BC" w:rsidRDefault="00150C8E" w:rsidP="00E42A5A">
            <w:pPr>
              <w:jc w:val="both"/>
            </w:pPr>
            <w:r w:rsidRPr="001C12BC">
              <w:t>(ii) bunuri şi servicii</w:t>
            </w:r>
          </w:p>
        </w:tc>
        <w:tc>
          <w:tcPr>
            <w:tcW w:w="850" w:type="dxa"/>
            <w:gridSpan w:val="3"/>
          </w:tcPr>
          <w:p w:rsidR="00150C8E" w:rsidRPr="001C12BC" w:rsidRDefault="00150C8E" w:rsidP="00E42A5A">
            <w:pPr>
              <w:jc w:val="center"/>
            </w:pPr>
          </w:p>
        </w:tc>
        <w:tc>
          <w:tcPr>
            <w:tcW w:w="992" w:type="dxa"/>
          </w:tcPr>
          <w:p w:rsidR="00150C8E" w:rsidRPr="001C12BC" w:rsidRDefault="00150C8E" w:rsidP="00E42A5A">
            <w:pPr>
              <w:jc w:val="center"/>
            </w:pPr>
          </w:p>
        </w:tc>
        <w:tc>
          <w:tcPr>
            <w:tcW w:w="1134" w:type="dxa"/>
          </w:tcPr>
          <w:p w:rsidR="00150C8E" w:rsidRPr="001C12BC" w:rsidRDefault="00150C8E" w:rsidP="00E42A5A">
            <w:pPr>
              <w:jc w:val="center"/>
              <w:rPr>
                <w:b/>
                <w:bCs/>
              </w:rPr>
            </w:pPr>
          </w:p>
        </w:tc>
        <w:tc>
          <w:tcPr>
            <w:tcW w:w="1134" w:type="dxa"/>
          </w:tcPr>
          <w:p w:rsidR="00150C8E" w:rsidRPr="001C12BC" w:rsidRDefault="00150C8E" w:rsidP="00E42A5A">
            <w:pPr>
              <w:jc w:val="center"/>
            </w:pPr>
          </w:p>
        </w:tc>
        <w:tc>
          <w:tcPr>
            <w:tcW w:w="1158" w:type="dxa"/>
          </w:tcPr>
          <w:p w:rsidR="00150C8E" w:rsidRPr="001C12BC" w:rsidRDefault="00150C8E" w:rsidP="00E42A5A">
            <w:pPr>
              <w:jc w:val="center"/>
              <w:rPr>
                <w:b/>
                <w:bCs/>
              </w:rPr>
            </w:pPr>
          </w:p>
        </w:tc>
        <w:tc>
          <w:tcPr>
            <w:tcW w:w="1098" w:type="dxa"/>
          </w:tcPr>
          <w:p w:rsidR="00150C8E" w:rsidRPr="001C12BC" w:rsidRDefault="00150C8E" w:rsidP="00E42A5A">
            <w:pPr>
              <w:jc w:val="center"/>
            </w:pPr>
          </w:p>
        </w:tc>
      </w:tr>
      <w:tr w:rsidR="00150C8E" w:rsidRPr="001C12BC">
        <w:trPr>
          <w:trHeight w:val="1288"/>
        </w:trPr>
        <w:tc>
          <w:tcPr>
            <w:tcW w:w="3936" w:type="dxa"/>
            <w:gridSpan w:val="3"/>
          </w:tcPr>
          <w:p w:rsidR="00150C8E" w:rsidRPr="001C12BC" w:rsidRDefault="00150C8E" w:rsidP="00E42A5A">
            <w:pPr>
              <w:jc w:val="both"/>
            </w:pPr>
            <w:r w:rsidRPr="001C12BC">
              <w:t>3. Impact financiar, plus/minus, din care:</w:t>
            </w:r>
          </w:p>
          <w:p w:rsidR="00150C8E" w:rsidRPr="001C12BC" w:rsidRDefault="00150C8E" w:rsidP="00E42A5A">
            <w:pPr>
              <w:jc w:val="both"/>
            </w:pPr>
            <w:r w:rsidRPr="001C12BC">
              <w:t>a) buget de stat</w:t>
            </w:r>
          </w:p>
          <w:p w:rsidR="00150C8E" w:rsidRPr="001C12BC" w:rsidRDefault="00150C8E" w:rsidP="00E42A5A">
            <w:pPr>
              <w:jc w:val="both"/>
            </w:pPr>
            <w:r w:rsidRPr="001C12BC">
              <w:t>b) bugete locale</w:t>
            </w:r>
          </w:p>
        </w:tc>
        <w:tc>
          <w:tcPr>
            <w:tcW w:w="850" w:type="dxa"/>
            <w:gridSpan w:val="3"/>
          </w:tcPr>
          <w:p w:rsidR="00150C8E" w:rsidRPr="001C12BC" w:rsidRDefault="00150C8E" w:rsidP="00E42A5A">
            <w:pPr>
              <w:jc w:val="center"/>
            </w:pPr>
          </w:p>
        </w:tc>
        <w:tc>
          <w:tcPr>
            <w:tcW w:w="992" w:type="dxa"/>
          </w:tcPr>
          <w:p w:rsidR="00150C8E" w:rsidRPr="001C12BC" w:rsidRDefault="00150C8E" w:rsidP="00E42A5A">
            <w:pPr>
              <w:jc w:val="center"/>
            </w:pPr>
          </w:p>
        </w:tc>
        <w:tc>
          <w:tcPr>
            <w:tcW w:w="1134" w:type="dxa"/>
          </w:tcPr>
          <w:p w:rsidR="00150C8E" w:rsidRPr="001C12BC" w:rsidRDefault="00150C8E" w:rsidP="00E42A5A">
            <w:pPr>
              <w:jc w:val="center"/>
            </w:pPr>
          </w:p>
        </w:tc>
        <w:tc>
          <w:tcPr>
            <w:tcW w:w="1134" w:type="dxa"/>
          </w:tcPr>
          <w:p w:rsidR="00150C8E" w:rsidRPr="001C12BC" w:rsidRDefault="00150C8E" w:rsidP="00E42A5A">
            <w:pPr>
              <w:jc w:val="center"/>
            </w:pPr>
          </w:p>
        </w:tc>
        <w:tc>
          <w:tcPr>
            <w:tcW w:w="1158" w:type="dxa"/>
          </w:tcPr>
          <w:p w:rsidR="00150C8E" w:rsidRPr="001C12BC" w:rsidRDefault="00150C8E" w:rsidP="00E42A5A">
            <w:pPr>
              <w:jc w:val="center"/>
            </w:pPr>
          </w:p>
        </w:tc>
        <w:tc>
          <w:tcPr>
            <w:tcW w:w="1098" w:type="dxa"/>
          </w:tcPr>
          <w:p w:rsidR="00150C8E" w:rsidRPr="001C12BC" w:rsidRDefault="00150C8E" w:rsidP="00E42A5A">
            <w:pPr>
              <w:jc w:val="center"/>
            </w:pPr>
          </w:p>
        </w:tc>
      </w:tr>
      <w:tr w:rsidR="00150C8E" w:rsidRPr="001C12BC">
        <w:tc>
          <w:tcPr>
            <w:tcW w:w="3936" w:type="dxa"/>
            <w:gridSpan w:val="3"/>
          </w:tcPr>
          <w:p w:rsidR="00150C8E" w:rsidRPr="001C12BC" w:rsidRDefault="00150C8E" w:rsidP="00E42A5A">
            <w:pPr>
              <w:jc w:val="both"/>
            </w:pPr>
            <w:r w:rsidRPr="001C12BC">
              <w:t>4. Propuneri pentru acoperirea creşterii cheltuielilor bugetare</w:t>
            </w:r>
          </w:p>
        </w:tc>
        <w:tc>
          <w:tcPr>
            <w:tcW w:w="850" w:type="dxa"/>
            <w:gridSpan w:val="3"/>
          </w:tcPr>
          <w:p w:rsidR="00150C8E" w:rsidRPr="001C12BC" w:rsidRDefault="00150C8E" w:rsidP="00E42A5A">
            <w:pPr>
              <w:jc w:val="center"/>
              <w:rPr>
                <w:b/>
                <w:bCs/>
              </w:rPr>
            </w:pPr>
          </w:p>
        </w:tc>
        <w:tc>
          <w:tcPr>
            <w:tcW w:w="992" w:type="dxa"/>
          </w:tcPr>
          <w:p w:rsidR="00150C8E" w:rsidRPr="001C12BC" w:rsidRDefault="00150C8E" w:rsidP="00E42A5A">
            <w:pPr>
              <w:jc w:val="center"/>
              <w:rPr>
                <w:b/>
                <w:bCs/>
              </w:rPr>
            </w:pPr>
          </w:p>
        </w:tc>
        <w:tc>
          <w:tcPr>
            <w:tcW w:w="1134" w:type="dxa"/>
          </w:tcPr>
          <w:p w:rsidR="00150C8E" w:rsidRPr="001C12BC" w:rsidRDefault="00150C8E" w:rsidP="00E42A5A">
            <w:pPr>
              <w:jc w:val="center"/>
              <w:rPr>
                <w:b/>
                <w:bCs/>
              </w:rPr>
            </w:pPr>
          </w:p>
        </w:tc>
        <w:tc>
          <w:tcPr>
            <w:tcW w:w="1134" w:type="dxa"/>
          </w:tcPr>
          <w:p w:rsidR="00150C8E" w:rsidRPr="001C12BC" w:rsidRDefault="00150C8E" w:rsidP="00E42A5A">
            <w:pPr>
              <w:jc w:val="center"/>
              <w:rPr>
                <w:b/>
                <w:bCs/>
              </w:rPr>
            </w:pPr>
          </w:p>
        </w:tc>
        <w:tc>
          <w:tcPr>
            <w:tcW w:w="1158" w:type="dxa"/>
          </w:tcPr>
          <w:p w:rsidR="00150C8E" w:rsidRPr="001C12BC" w:rsidRDefault="00150C8E" w:rsidP="00E42A5A">
            <w:pPr>
              <w:jc w:val="center"/>
              <w:rPr>
                <w:b/>
                <w:bCs/>
              </w:rPr>
            </w:pPr>
          </w:p>
        </w:tc>
        <w:tc>
          <w:tcPr>
            <w:tcW w:w="1098" w:type="dxa"/>
          </w:tcPr>
          <w:p w:rsidR="00150C8E" w:rsidRPr="001C12BC" w:rsidRDefault="00150C8E" w:rsidP="00E42A5A">
            <w:pPr>
              <w:jc w:val="center"/>
              <w:rPr>
                <w:b/>
                <w:bCs/>
              </w:rPr>
            </w:pPr>
          </w:p>
        </w:tc>
      </w:tr>
      <w:tr w:rsidR="00150C8E" w:rsidRPr="001C12BC">
        <w:tc>
          <w:tcPr>
            <w:tcW w:w="3936" w:type="dxa"/>
            <w:gridSpan w:val="3"/>
          </w:tcPr>
          <w:p w:rsidR="00150C8E" w:rsidRPr="001C12BC" w:rsidRDefault="00150C8E" w:rsidP="00E42A5A">
            <w:pPr>
              <w:jc w:val="both"/>
            </w:pPr>
            <w:r w:rsidRPr="001C12BC">
              <w:t>5. Propuneri pentru a compensa reducerea veniturilor bugetare</w:t>
            </w:r>
          </w:p>
        </w:tc>
        <w:tc>
          <w:tcPr>
            <w:tcW w:w="850" w:type="dxa"/>
            <w:gridSpan w:val="3"/>
          </w:tcPr>
          <w:p w:rsidR="00150C8E" w:rsidRPr="001C12BC" w:rsidRDefault="00150C8E" w:rsidP="00E42A5A">
            <w:pPr>
              <w:jc w:val="center"/>
              <w:rPr>
                <w:b/>
                <w:bCs/>
              </w:rPr>
            </w:pPr>
          </w:p>
        </w:tc>
        <w:tc>
          <w:tcPr>
            <w:tcW w:w="992" w:type="dxa"/>
          </w:tcPr>
          <w:p w:rsidR="00150C8E" w:rsidRPr="001C12BC" w:rsidRDefault="00150C8E" w:rsidP="00E42A5A">
            <w:pPr>
              <w:jc w:val="center"/>
              <w:rPr>
                <w:b/>
                <w:bCs/>
              </w:rPr>
            </w:pPr>
          </w:p>
        </w:tc>
        <w:tc>
          <w:tcPr>
            <w:tcW w:w="1134" w:type="dxa"/>
          </w:tcPr>
          <w:p w:rsidR="00150C8E" w:rsidRPr="001C12BC" w:rsidRDefault="00150C8E" w:rsidP="00E42A5A">
            <w:pPr>
              <w:jc w:val="center"/>
              <w:rPr>
                <w:b/>
                <w:bCs/>
              </w:rPr>
            </w:pPr>
          </w:p>
        </w:tc>
        <w:tc>
          <w:tcPr>
            <w:tcW w:w="1134" w:type="dxa"/>
          </w:tcPr>
          <w:p w:rsidR="00150C8E" w:rsidRPr="001C12BC" w:rsidRDefault="00150C8E" w:rsidP="00E42A5A">
            <w:pPr>
              <w:jc w:val="center"/>
              <w:rPr>
                <w:b/>
                <w:bCs/>
              </w:rPr>
            </w:pPr>
          </w:p>
        </w:tc>
        <w:tc>
          <w:tcPr>
            <w:tcW w:w="1158" w:type="dxa"/>
          </w:tcPr>
          <w:p w:rsidR="00150C8E" w:rsidRPr="001C12BC" w:rsidRDefault="00150C8E" w:rsidP="00E42A5A">
            <w:pPr>
              <w:jc w:val="center"/>
              <w:rPr>
                <w:b/>
                <w:bCs/>
              </w:rPr>
            </w:pPr>
          </w:p>
        </w:tc>
        <w:tc>
          <w:tcPr>
            <w:tcW w:w="1098" w:type="dxa"/>
          </w:tcPr>
          <w:p w:rsidR="00150C8E" w:rsidRPr="001C12BC" w:rsidRDefault="00150C8E" w:rsidP="00E42A5A">
            <w:pPr>
              <w:jc w:val="center"/>
              <w:rPr>
                <w:b/>
                <w:bCs/>
              </w:rPr>
            </w:pPr>
          </w:p>
        </w:tc>
      </w:tr>
      <w:tr w:rsidR="00150C8E" w:rsidRPr="001C12BC">
        <w:tc>
          <w:tcPr>
            <w:tcW w:w="3936" w:type="dxa"/>
            <w:gridSpan w:val="3"/>
          </w:tcPr>
          <w:p w:rsidR="00150C8E" w:rsidRDefault="00150C8E" w:rsidP="00E42A5A">
            <w:pPr>
              <w:jc w:val="both"/>
            </w:pPr>
            <w:r w:rsidRPr="001C12BC">
              <w:t>6. Calcule detaliate privind fundamentarea modificărilor veniturilor şi/sau cheltuielilor bugetare</w:t>
            </w:r>
          </w:p>
          <w:p w:rsidR="00150C8E" w:rsidRPr="001C12BC" w:rsidRDefault="00150C8E" w:rsidP="00E42A5A">
            <w:pPr>
              <w:jc w:val="both"/>
            </w:pPr>
          </w:p>
        </w:tc>
        <w:tc>
          <w:tcPr>
            <w:tcW w:w="6366" w:type="dxa"/>
            <w:gridSpan w:val="8"/>
          </w:tcPr>
          <w:p w:rsidR="00150C8E" w:rsidRPr="001C12BC" w:rsidRDefault="00150C8E" w:rsidP="00E42A5A">
            <w:pPr>
              <w:jc w:val="center"/>
              <w:rPr>
                <w:b/>
                <w:bCs/>
              </w:rPr>
            </w:pPr>
          </w:p>
        </w:tc>
      </w:tr>
      <w:tr w:rsidR="00150C8E" w:rsidRPr="001C12BC">
        <w:tc>
          <w:tcPr>
            <w:tcW w:w="3936" w:type="dxa"/>
            <w:gridSpan w:val="3"/>
          </w:tcPr>
          <w:p w:rsidR="00150C8E" w:rsidRDefault="00150C8E" w:rsidP="00E42A5A">
            <w:pPr>
              <w:jc w:val="both"/>
            </w:pPr>
            <w:r w:rsidRPr="001C12BC">
              <w:t>7. Alte informaţii</w:t>
            </w:r>
          </w:p>
          <w:p w:rsidR="00150C8E" w:rsidRPr="001C12BC" w:rsidRDefault="00150C8E" w:rsidP="00E42A5A">
            <w:pPr>
              <w:jc w:val="both"/>
            </w:pPr>
          </w:p>
        </w:tc>
        <w:tc>
          <w:tcPr>
            <w:tcW w:w="6366" w:type="dxa"/>
            <w:gridSpan w:val="8"/>
          </w:tcPr>
          <w:p w:rsidR="00150C8E" w:rsidRPr="001C12BC" w:rsidRDefault="00150C8E" w:rsidP="00E42A5A">
            <w:pPr>
              <w:jc w:val="center"/>
              <w:rPr>
                <w:b/>
                <w:bCs/>
              </w:rPr>
            </w:pPr>
          </w:p>
        </w:tc>
      </w:tr>
      <w:tr w:rsidR="00150C8E" w:rsidRPr="001C12BC">
        <w:tc>
          <w:tcPr>
            <w:tcW w:w="10302" w:type="dxa"/>
            <w:gridSpan w:val="11"/>
          </w:tcPr>
          <w:p w:rsidR="00150C8E" w:rsidRPr="001C12BC" w:rsidRDefault="00150C8E" w:rsidP="00E42A5A">
            <w:pPr>
              <w:rPr>
                <w:b/>
                <w:bCs/>
              </w:rPr>
            </w:pPr>
          </w:p>
          <w:p w:rsidR="00150C8E" w:rsidRPr="001C12BC" w:rsidRDefault="00150C8E" w:rsidP="00E42A5A">
            <w:pPr>
              <w:jc w:val="center"/>
              <w:rPr>
                <w:b/>
                <w:bCs/>
                <w:i/>
                <w:iCs/>
              </w:rPr>
            </w:pPr>
            <w:r w:rsidRPr="001C12BC">
              <w:rPr>
                <w:b/>
                <w:bCs/>
                <w:i/>
                <w:iCs/>
              </w:rPr>
              <w:t>Secţiunea a 5-a</w:t>
            </w:r>
          </w:p>
          <w:p w:rsidR="00150C8E" w:rsidRPr="001C12BC" w:rsidRDefault="00150C8E" w:rsidP="00E42A5A">
            <w:pPr>
              <w:jc w:val="center"/>
              <w:rPr>
                <w:b/>
                <w:bCs/>
                <w:i/>
                <w:iCs/>
              </w:rPr>
            </w:pPr>
            <w:r w:rsidRPr="001C12BC">
              <w:rPr>
                <w:b/>
                <w:bCs/>
                <w:i/>
                <w:iCs/>
              </w:rPr>
              <w:t>Efectele proiectului de act normativ asupra legislaţiei în vigoare</w:t>
            </w:r>
          </w:p>
          <w:p w:rsidR="00150C8E" w:rsidRDefault="00150C8E" w:rsidP="00E42A5A">
            <w:pPr>
              <w:jc w:val="both"/>
              <w:rPr>
                <w:b/>
                <w:bCs/>
              </w:rPr>
            </w:pPr>
          </w:p>
          <w:p w:rsidR="00150C8E" w:rsidRPr="001C12BC" w:rsidRDefault="00150C8E" w:rsidP="00E42A5A">
            <w:pPr>
              <w:jc w:val="both"/>
              <w:rPr>
                <w:b/>
                <w:bCs/>
              </w:rPr>
            </w:pPr>
          </w:p>
        </w:tc>
      </w:tr>
      <w:tr w:rsidR="00150C8E" w:rsidRPr="001C12BC">
        <w:tc>
          <w:tcPr>
            <w:tcW w:w="4473" w:type="dxa"/>
            <w:gridSpan w:val="5"/>
          </w:tcPr>
          <w:p w:rsidR="00150C8E" w:rsidRPr="001C12BC" w:rsidRDefault="00150C8E" w:rsidP="00E42A5A">
            <w:pPr>
              <w:jc w:val="both"/>
            </w:pPr>
            <w:r w:rsidRPr="001C12BC">
              <w:t>1. Măsuri normative necesare pentru aplicarea prevederilor proiectului de act normativ :</w:t>
            </w:r>
          </w:p>
          <w:p w:rsidR="00150C8E" w:rsidRPr="001C12BC" w:rsidRDefault="00150C8E" w:rsidP="00E42A5A">
            <w:pPr>
              <w:jc w:val="both"/>
            </w:pPr>
            <w:r w:rsidRPr="001C12BC">
              <w:t xml:space="preserve">a) acte normative în vigoare ce vor fi modificate sau abrogate, ca urmare a intrării în vigoare a proiectului de act normativ </w:t>
            </w:r>
          </w:p>
          <w:p w:rsidR="00150C8E" w:rsidRPr="001C12BC" w:rsidRDefault="00150C8E" w:rsidP="00E42A5A">
            <w:pPr>
              <w:jc w:val="both"/>
            </w:pPr>
            <w:r w:rsidRPr="001C12BC">
              <w:t>b) acte normative ce urmează a fi elaborate în vederea implementării noilor dispoziţii.</w:t>
            </w:r>
          </w:p>
        </w:tc>
        <w:tc>
          <w:tcPr>
            <w:tcW w:w="5829" w:type="dxa"/>
            <w:gridSpan w:val="6"/>
          </w:tcPr>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B26A75">
            <w:pPr>
              <w:jc w:val="both"/>
            </w:pPr>
          </w:p>
        </w:tc>
      </w:tr>
      <w:tr w:rsidR="00150C8E" w:rsidRPr="001C12BC">
        <w:tc>
          <w:tcPr>
            <w:tcW w:w="4473" w:type="dxa"/>
            <w:gridSpan w:val="5"/>
          </w:tcPr>
          <w:p w:rsidR="00150C8E" w:rsidRPr="001C12BC" w:rsidRDefault="00150C8E" w:rsidP="00E42A5A">
            <w:pPr>
              <w:jc w:val="both"/>
            </w:pPr>
            <w:r w:rsidRPr="001C12BC">
              <w:t>1</w:t>
            </w:r>
            <w:r w:rsidRPr="001C12BC">
              <w:rPr>
                <w:vertAlign w:val="superscript"/>
              </w:rPr>
              <w:t>1</w:t>
            </w:r>
            <w:r w:rsidRPr="001C12BC">
              <w:t>. Compatibilitatea proiectului de act normativ cu legislaţia în domeniul achiziţiilor publice:</w:t>
            </w:r>
          </w:p>
          <w:p w:rsidR="00150C8E" w:rsidRPr="001C12BC" w:rsidRDefault="00150C8E" w:rsidP="00E42A5A">
            <w:pPr>
              <w:jc w:val="both"/>
            </w:pPr>
            <w:r w:rsidRPr="001C12BC">
              <w:t>a) impact legislativ - prevederi de modificare şi completare a cadrului normativ în domeniul achiziţiilor publice, prevederi derogatorii;</w:t>
            </w:r>
          </w:p>
          <w:p w:rsidR="00150C8E" w:rsidRPr="001C12BC" w:rsidRDefault="00150C8E" w:rsidP="00E42A5A">
            <w:pPr>
              <w:jc w:val="both"/>
            </w:pPr>
            <w:r w:rsidRPr="001C12BC">
              <w:t>b) norme cu impact la nivel operaţional/tehnic - sisteme electronice utilizate în desfăşurarea procedurilor de achiziţie publică, unităţi centralizate de achiziţii publice, structură organizatorică internă a autorităţilor contractante.</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pPr>
              <w:jc w:val="both"/>
            </w:pPr>
            <w:r w:rsidRPr="001C12BC">
              <w:t xml:space="preserve"> Proiectul de act normativ nu se referă la acest subiect.</w:t>
            </w: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tc>
      </w:tr>
      <w:tr w:rsidR="00150C8E" w:rsidRPr="001C12BC">
        <w:tc>
          <w:tcPr>
            <w:tcW w:w="4473" w:type="dxa"/>
            <w:gridSpan w:val="5"/>
          </w:tcPr>
          <w:p w:rsidR="00150C8E" w:rsidRPr="001C12BC" w:rsidRDefault="00150C8E" w:rsidP="00E42A5A">
            <w:pPr>
              <w:jc w:val="both"/>
            </w:pPr>
            <w:r w:rsidRPr="001C12BC">
              <w:t xml:space="preserve">2. Conformitatea proiectului de act normativ cu legislaţia comunitară în cazul proiectelor ce transpun prevederi comunitare </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pPr>
              <w:autoSpaceDE w:val="0"/>
              <w:autoSpaceDN w:val="0"/>
              <w:adjustRightInd w:val="0"/>
              <w:jc w:val="both"/>
              <w:rPr>
                <w:rFonts w:eastAsia="EUAlbertina-Bold-Identity-H"/>
                <w:noProof w:val="0"/>
                <w:lang w:eastAsia="ro-RO"/>
              </w:rPr>
            </w:pPr>
            <w:r w:rsidRPr="001C12BC">
              <w:t>Proiectul de act normativ nu se referă la acest subiect.</w:t>
            </w:r>
          </w:p>
        </w:tc>
      </w:tr>
      <w:tr w:rsidR="00150C8E" w:rsidRPr="001C12BC">
        <w:tc>
          <w:tcPr>
            <w:tcW w:w="4473" w:type="dxa"/>
            <w:gridSpan w:val="5"/>
          </w:tcPr>
          <w:p w:rsidR="00150C8E" w:rsidRPr="001C12BC" w:rsidRDefault="00150C8E" w:rsidP="00E42A5A">
            <w:pPr>
              <w:jc w:val="both"/>
            </w:pPr>
            <w:r w:rsidRPr="001C12BC">
              <w:t>3. Măsuri normative necesare aplicării directe a actelor normative comunitare</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c>
          <w:tcPr>
            <w:tcW w:w="4473" w:type="dxa"/>
            <w:gridSpan w:val="5"/>
          </w:tcPr>
          <w:p w:rsidR="00150C8E" w:rsidRPr="001C12BC" w:rsidRDefault="00150C8E" w:rsidP="00E42A5A">
            <w:pPr>
              <w:jc w:val="both"/>
            </w:pPr>
            <w:r w:rsidRPr="001C12BC">
              <w:t>4. Hotărâri ale Curţii de Justiţie a Uniunii Europene</w:t>
            </w: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c>
          <w:tcPr>
            <w:tcW w:w="4473" w:type="dxa"/>
            <w:gridSpan w:val="5"/>
          </w:tcPr>
          <w:p w:rsidR="00150C8E" w:rsidRPr="001C12BC" w:rsidRDefault="00150C8E" w:rsidP="00E42A5A">
            <w:pPr>
              <w:jc w:val="both"/>
            </w:pPr>
            <w:r w:rsidRPr="001C12BC">
              <w:t>5. Alte acte normative şi/sau documente internaţionale din care decurg angajamente</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c>
          <w:tcPr>
            <w:tcW w:w="4473" w:type="dxa"/>
            <w:gridSpan w:val="5"/>
          </w:tcPr>
          <w:p w:rsidR="00150C8E" w:rsidRPr="001C12BC" w:rsidRDefault="00150C8E" w:rsidP="00E42A5A">
            <w:pPr>
              <w:jc w:val="both"/>
            </w:pPr>
            <w:r w:rsidRPr="001C12BC">
              <w:t>6. Alte informaţii</w:t>
            </w:r>
          </w:p>
          <w:p w:rsidR="00150C8E" w:rsidRPr="001C12BC" w:rsidRDefault="00150C8E" w:rsidP="00E42A5A">
            <w:pPr>
              <w:jc w:val="both"/>
            </w:pPr>
          </w:p>
        </w:tc>
        <w:tc>
          <w:tcPr>
            <w:tcW w:w="5829" w:type="dxa"/>
            <w:gridSpan w:val="6"/>
          </w:tcPr>
          <w:p w:rsidR="00150C8E" w:rsidRPr="001C12BC" w:rsidRDefault="00150C8E" w:rsidP="00E42A5A">
            <w:pPr>
              <w:jc w:val="center"/>
            </w:pPr>
            <w:r w:rsidRPr="001C12BC">
              <w:t xml:space="preserve">-  </w:t>
            </w:r>
          </w:p>
        </w:tc>
      </w:tr>
      <w:tr w:rsidR="00150C8E" w:rsidRPr="001C12BC">
        <w:tc>
          <w:tcPr>
            <w:tcW w:w="10302" w:type="dxa"/>
            <w:gridSpan w:val="11"/>
          </w:tcPr>
          <w:p w:rsidR="00150C8E" w:rsidRPr="001C12BC" w:rsidRDefault="00150C8E" w:rsidP="00E42A5A">
            <w:pPr>
              <w:rPr>
                <w:b/>
                <w:bCs/>
                <w:i/>
                <w:iCs/>
              </w:rPr>
            </w:pPr>
          </w:p>
          <w:p w:rsidR="00150C8E" w:rsidRPr="001C12BC" w:rsidRDefault="00150C8E" w:rsidP="00E42A5A">
            <w:pPr>
              <w:rPr>
                <w:b/>
                <w:bCs/>
                <w:i/>
                <w:iCs/>
              </w:rPr>
            </w:pPr>
          </w:p>
          <w:p w:rsidR="00150C8E" w:rsidRPr="001C12BC" w:rsidRDefault="00150C8E" w:rsidP="00E42A5A">
            <w:pPr>
              <w:jc w:val="center"/>
              <w:rPr>
                <w:b/>
                <w:bCs/>
                <w:i/>
                <w:iCs/>
              </w:rPr>
            </w:pPr>
            <w:r w:rsidRPr="001C12BC">
              <w:rPr>
                <w:b/>
                <w:bCs/>
                <w:i/>
                <w:iCs/>
              </w:rPr>
              <w:t>Secţiunea a 6-a</w:t>
            </w:r>
          </w:p>
          <w:p w:rsidR="00150C8E" w:rsidRPr="001C12BC" w:rsidRDefault="00150C8E" w:rsidP="00E42A5A">
            <w:pPr>
              <w:jc w:val="center"/>
              <w:rPr>
                <w:b/>
                <w:bCs/>
              </w:rPr>
            </w:pPr>
            <w:r w:rsidRPr="001C12BC">
              <w:rPr>
                <w:b/>
                <w:bCs/>
                <w:i/>
                <w:iCs/>
              </w:rPr>
              <w:t>Consultările efectuate în vederea elaborării actului normativ</w:t>
            </w:r>
          </w:p>
          <w:p w:rsidR="00150C8E" w:rsidRPr="001C12BC" w:rsidRDefault="00150C8E" w:rsidP="00E42A5A">
            <w:pPr>
              <w:jc w:val="both"/>
              <w:rPr>
                <w:b/>
                <w:bCs/>
              </w:rPr>
            </w:pPr>
          </w:p>
        </w:tc>
      </w:tr>
      <w:tr w:rsidR="00150C8E" w:rsidRPr="001C12BC">
        <w:tc>
          <w:tcPr>
            <w:tcW w:w="4473" w:type="dxa"/>
            <w:gridSpan w:val="5"/>
          </w:tcPr>
          <w:p w:rsidR="00150C8E" w:rsidRPr="001C12BC" w:rsidRDefault="00150C8E" w:rsidP="008B47D2">
            <w:pPr>
              <w:jc w:val="both"/>
            </w:pPr>
            <w:r w:rsidRPr="001C12BC">
              <w:t>1. Informaţii privind procesul de consultare cu organizaţii neguvernamentale, institute de cercetare şi alte organisme implicate</w:t>
            </w:r>
          </w:p>
          <w:p w:rsidR="00150C8E" w:rsidRPr="001C12BC" w:rsidRDefault="00150C8E" w:rsidP="008B47D2">
            <w:pPr>
              <w:jc w:val="both"/>
            </w:pPr>
          </w:p>
          <w:p w:rsidR="00150C8E" w:rsidRPr="001C12BC" w:rsidRDefault="00150C8E" w:rsidP="008B47D2">
            <w:pPr>
              <w:jc w:val="both"/>
            </w:pPr>
          </w:p>
        </w:tc>
        <w:tc>
          <w:tcPr>
            <w:tcW w:w="5829" w:type="dxa"/>
            <w:gridSpan w:val="6"/>
          </w:tcPr>
          <w:p w:rsidR="00150C8E" w:rsidRPr="001C12BC" w:rsidRDefault="00150C8E" w:rsidP="008B47D2">
            <w:pPr>
              <w:jc w:val="both"/>
            </w:pPr>
            <w:r w:rsidRPr="001C12BC">
              <w:t>Proiectul de act normativ nu se referă la acest subiect.</w:t>
            </w:r>
          </w:p>
        </w:tc>
      </w:tr>
      <w:tr w:rsidR="00150C8E" w:rsidRPr="001C12BC">
        <w:tc>
          <w:tcPr>
            <w:tcW w:w="4473" w:type="dxa"/>
            <w:gridSpan w:val="5"/>
          </w:tcPr>
          <w:p w:rsidR="00150C8E" w:rsidRPr="001C12BC" w:rsidRDefault="00150C8E" w:rsidP="00E42A5A">
            <w:pPr>
              <w:jc w:val="both"/>
            </w:pPr>
            <w:r w:rsidRPr="001C12BC">
              <w:t>2. Fundamentarea alegerii organizaţiilor cu care a avut loc consultarea, precum şi a modului în care activitatea acestor organizaţii este legată de obiectul actului normativ</w:t>
            </w: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rPr>
          <w:gridBefore w:val="1"/>
        </w:trPr>
        <w:tc>
          <w:tcPr>
            <w:tcW w:w="4473" w:type="dxa"/>
            <w:gridSpan w:val="4"/>
          </w:tcPr>
          <w:p w:rsidR="00150C8E" w:rsidRPr="001C12BC" w:rsidRDefault="00150C8E" w:rsidP="00E42A5A">
            <w:pPr>
              <w:jc w:val="both"/>
            </w:pPr>
            <w:r w:rsidRPr="001C12BC">
              <w:t>3. Consultările organizate cu autorităţile administraţiei publice locale, în situaţia în care actul normativ are ca obiect activităţi ale acestor autorităţi, în condiţiile Hotărârii Guvernului nr. 521/2005 privind procedurile de consultare a structurilor asociative ale autorităţilor administraţiei publice locale la elaborarea proiectelor de acte normative</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rPr>
          <w:gridBefore w:val="1"/>
        </w:trPr>
        <w:tc>
          <w:tcPr>
            <w:tcW w:w="4473" w:type="dxa"/>
            <w:gridSpan w:val="4"/>
          </w:tcPr>
          <w:p w:rsidR="00150C8E" w:rsidRPr="001C12BC" w:rsidRDefault="00150C8E" w:rsidP="00E42A5A">
            <w:pPr>
              <w:jc w:val="both"/>
            </w:pPr>
            <w:r w:rsidRPr="001C12BC">
              <w:t>4. Consultările desfăşurate în cadrul consiliilor interministeriale, în conformitate</w:t>
            </w:r>
          </w:p>
          <w:p w:rsidR="00150C8E" w:rsidRPr="001C12BC" w:rsidRDefault="00150C8E" w:rsidP="00E42A5A">
            <w:pPr>
              <w:jc w:val="both"/>
            </w:pPr>
            <w:r w:rsidRPr="001C12BC">
              <w:t xml:space="preserve"> cu prevederile Hotărârii Guvernului nr. 750/2005 privind constituirea consiliilor interministeriale permanente</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rPr>
          <w:gridBefore w:val="1"/>
        </w:trPr>
        <w:tc>
          <w:tcPr>
            <w:tcW w:w="4473" w:type="dxa"/>
            <w:gridSpan w:val="4"/>
          </w:tcPr>
          <w:p w:rsidR="00150C8E" w:rsidRPr="001C12BC" w:rsidRDefault="00150C8E" w:rsidP="00E42A5A">
            <w:pPr>
              <w:jc w:val="both"/>
            </w:pPr>
            <w:r w:rsidRPr="001C12BC">
              <w:t>5. Informaţii privind avizarea de către:</w:t>
            </w:r>
          </w:p>
          <w:p w:rsidR="00150C8E" w:rsidRPr="001C12BC" w:rsidRDefault="00150C8E" w:rsidP="00E42A5A">
            <w:pPr>
              <w:jc w:val="both"/>
            </w:pPr>
            <w:r w:rsidRPr="001C12BC">
              <w:t>a) Consiliul Legislativ</w:t>
            </w:r>
          </w:p>
          <w:p w:rsidR="00150C8E" w:rsidRPr="001C12BC" w:rsidRDefault="00150C8E" w:rsidP="00E42A5A">
            <w:pPr>
              <w:jc w:val="both"/>
            </w:pPr>
            <w:r w:rsidRPr="001C12BC">
              <w:t>b) Consiliul Suprem de Apărare a Ţării</w:t>
            </w:r>
          </w:p>
          <w:p w:rsidR="00150C8E" w:rsidRPr="001C12BC" w:rsidRDefault="00150C8E" w:rsidP="00E42A5A">
            <w:pPr>
              <w:jc w:val="both"/>
            </w:pPr>
            <w:r w:rsidRPr="001C12BC">
              <w:t>c) Consiliul Economic şi Social</w:t>
            </w:r>
          </w:p>
          <w:p w:rsidR="00150C8E" w:rsidRPr="001C12BC" w:rsidRDefault="00150C8E" w:rsidP="00E42A5A">
            <w:pPr>
              <w:jc w:val="both"/>
            </w:pPr>
            <w:r w:rsidRPr="001C12BC">
              <w:t>d) Consiliul Concurenţei</w:t>
            </w:r>
          </w:p>
          <w:p w:rsidR="00150C8E" w:rsidRPr="001C12BC" w:rsidRDefault="00150C8E" w:rsidP="00E42A5A">
            <w:pPr>
              <w:jc w:val="both"/>
            </w:pPr>
            <w:r w:rsidRPr="001C12BC">
              <w:t>e) Curtea de Conturi</w:t>
            </w:r>
          </w:p>
          <w:p w:rsidR="00150C8E" w:rsidRPr="001C12BC"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5A5478">
            <w:pPr>
              <w:jc w:val="both"/>
            </w:pPr>
            <w:r w:rsidRPr="001C12BC">
              <w:t xml:space="preserve">Proiectul de act normativ se avizează de către Consiliul Legislativ </w:t>
            </w:r>
            <w:r w:rsidRPr="001C12BC">
              <w:rPr>
                <w:rFonts w:ascii="Tahoma" w:hAnsi="Tahoma" w:cs="Tahoma"/>
              </w:rPr>
              <w:t>ș</w:t>
            </w:r>
            <w:r w:rsidRPr="001C12BC">
              <w:t xml:space="preserve">i Consiliul Economic </w:t>
            </w:r>
            <w:r w:rsidRPr="001C12BC">
              <w:rPr>
                <w:rFonts w:ascii="Tahoma" w:hAnsi="Tahoma" w:cs="Tahoma"/>
              </w:rPr>
              <w:t>ș</w:t>
            </w:r>
            <w:r w:rsidRPr="001C12BC">
              <w:t>i Social</w:t>
            </w:r>
          </w:p>
        </w:tc>
      </w:tr>
      <w:tr w:rsidR="00150C8E" w:rsidRPr="001C12BC">
        <w:trPr>
          <w:gridBefore w:val="1"/>
        </w:trPr>
        <w:tc>
          <w:tcPr>
            <w:tcW w:w="4473" w:type="dxa"/>
            <w:gridSpan w:val="4"/>
          </w:tcPr>
          <w:p w:rsidR="00150C8E" w:rsidRPr="001C12BC" w:rsidRDefault="00150C8E" w:rsidP="00E42A5A">
            <w:pPr>
              <w:jc w:val="both"/>
            </w:pPr>
            <w:r w:rsidRPr="001C12BC">
              <w:t>6. Alte informaţii</w:t>
            </w:r>
          </w:p>
        </w:tc>
        <w:tc>
          <w:tcPr>
            <w:tcW w:w="5829" w:type="dxa"/>
            <w:gridSpan w:val="6"/>
          </w:tcPr>
          <w:p w:rsidR="00150C8E" w:rsidRPr="001C12BC" w:rsidRDefault="00150C8E" w:rsidP="00E42A5A">
            <w:pPr>
              <w:jc w:val="both"/>
            </w:pPr>
            <w:r w:rsidRPr="001C12BC">
              <w:t>Proiectul de act normativ nu se referă la acest subiect.</w:t>
            </w:r>
          </w:p>
          <w:p w:rsidR="00150C8E" w:rsidRPr="001C12BC" w:rsidRDefault="00150C8E" w:rsidP="00E42A5A">
            <w:pPr>
              <w:jc w:val="both"/>
            </w:pPr>
          </w:p>
          <w:p w:rsidR="00150C8E" w:rsidRPr="001C12BC" w:rsidRDefault="00150C8E" w:rsidP="00E42A5A">
            <w:pPr>
              <w:jc w:val="both"/>
            </w:pPr>
          </w:p>
        </w:tc>
      </w:tr>
      <w:tr w:rsidR="00150C8E" w:rsidRPr="001C12BC">
        <w:trPr>
          <w:gridBefore w:val="1"/>
          <w:trHeight w:val="1125"/>
        </w:trPr>
        <w:tc>
          <w:tcPr>
            <w:tcW w:w="10302" w:type="dxa"/>
            <w:gridSpan w:val="10"/>
          </w:tcPr>
          <w:p w:rsidR="00150C8E" w:rsidRPr="001C12BC" w:rsidRDefault="00150C8E" w:rsidP="00E42A5A">
            <w:pPr>
              <w:rPr>
                <w:b/>
                <w:bCs/>
              </w:rPr>
            </w:pPr>
          </w:p>
          <w:p w:rsidR="00150C8E" w:rsidRPr="001C12BC" w:rsidRDefault="00150C8E" w:rsidP="00E42A5A">
            <w:pPr>
              <w:jc w:val="center"/>
              <w:rPr>
                <w:b/>
                <w:bCs/>
                <w:i/>
                <w:iCs/>
              </w:rPr>
            </w:pPr>
            <w:r w:rsidRPr="001C12BC">
              <w:rPr>
                <w:b/>
                <w:bCs/>
                <w:i/>
                <w:iCs/>
              </w:rPr>
              <w:t>Secţiunea a 7-a</w:t>
            </w:r>
          </w:p>
          <w:p w:rsidR="00150C8E" w:rsidRPr="001C12BC" w:rsidRDefault="00150C8E" w:rsidP="00E42A5A">
            <w:pPr>
              <w:jc w:val="center"/>
              <w:rPr>
                <w:b/>
                <w:bCs/>
                <w:i/>
                <w:iCs/>
              </w:rPr>
            </w:pPr>
            <w:r w:rsidRPr="001C12BC">
              <w:rPr>
                <w:b/>
                <w:bCs/>
                <w:i/>
                <w:iCs/>
              </w:rPr>
              <w:t>Activităţi de informare publică privind elaborarea şi implementarea proiectului de act normativ</w:t>
            </w:r>
          </w:p>
          <w:p w:rsidR="00150C8E" w:rsidRPr="001C12BC" w:rsidRDefault="00150C8E" w:rsidP="00E42A5A">
            <w:pPr>
              <w:jc w:val="both"/>
              <w:rPr>
                <w:b/>
                <w:bCs/>
              </w:rPr>
            </w:pPr>
          </w:p>
          <w:p w:rsidR="00150C8E" w:rsidRPr="001C12BC" w:rsidRDefault="00150C8E" w:rsidP="00E42A5A">
            <w:pPr>
              <w:jc w:val="both"/>
              <w:rPr>
                <w:b/>
                <w:bCs/>
              </w:rPr>
            </w:pPr>
          </w:p>
          <w:p w:rsidR="00150C8E" w:rsidRPr="001C12BC" w:rsidRDefault="00150C8E" w:rsidP="00E42A5A">
            <w:pPr>
              <w:jc w:val="both"/>
              <w:rPr>
                <w:b/>
                <w:bCs/>
              </w:rPr>
            </w:pPr>
          </w:p>
        </w:tc>
      </w:tr>
      <w:tr w:rsidR="00150C8E" w:rsidRPr="001C12BC">
        <w:trPr>
          <w:gridBefore w:val="1"/>
        </w:trPr>
        <w:tc>
          <w:tcPr>
            <w:tcW w:w="4473" w:type="dxa"/>
            <w:gridSpan w:val="4"/>
          </w:tcPr>
          <w:p w:rsidR="00150C8E" w:rsidRPr="001C12BC" w:rsidRDefault="00150C8E" w:rsidP="00E42A5A">
            <w:pPr>
              <w:jc w:val="both"/>
            </w:pPr>
            <w:r w:rsidRPr="001C12BC">
              <w:t>1. Informarea societăţii civile cu privire la necesitatea elaborării actului normativ</w:t>
            </w: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a fost supus dezbaterii publice, potrivit dispoziţiilor Legii nr. 52/2003 privind transparenţa decizională în administraţia publică.</w:t>
            </w:r>
          </w:p>
          <w:p w:rsidR="00150C8E" w:rsidRPr="001C12BC" w:rsidRDefault="00150C8E" w:rsidP="00E42A5A">
            <w:pPr>
              <w:jc w:val="both"/>
            </w:pPr>
            <w:r w:rsidRPr="001C12BC">
              <w:t>Au fost respectate prevederile legale privind consultarea publică pe pagina de internet a institu</w:t>
            </w:r>
            <w:r w:rsidRPr="001C12BC">
              <w:rPr>
                <w:rFonts w:ascii="Tahoma" w:hAnsi="Tahoma" w:cs="Tahoma"/>
              </w:rPr>
              <w:t>ț</w:t>
            </w:r>
            <w:r w:rsidRPr="001C12BC">
              <w:t>iei ini</w:t>
            </w:r>
            <w:r w:rsidRPr="001C12BC">
              <w:rPr>
                <w:rFonts w:ascii="Tahoma" w:hAnsi="Tahoma" w:cs="Tahoma"/>
              </w:rPr>
              <w:t>ț</w:t>
            </w:r>
            <w:r w:rsidRPr="001C12BC">
              <w:t>iatoare.</w:t>
            </w:r>
          </w:p>
          <w:p w:rsidR="00150C8E" w:rsidRPr="001C12BC" w:rsidRDefault="00150C8E" w:rsidP="00E42A5A">
            <w:pPr>
              <w:jc w:val="both"/>
            </w:pPr>
          </w:p>
          <w:p w:rsidR="00150C8E" w:rsidRPr="001C12BC" w:rsidRDefault="00150C8E" w:rsidP="00E42A5A">
            <w:pPr>
              <w:jc w:val="both"/>
            </w:pPr>
          </w:p>
          <w:p w:rsidR="00150C8E" w:rsidRPr="001C12BC" w:rsidRDefault="00150C8E" w:rsidP="00E42A5A">
            <w:pPr>
              <w:jc w:val="both"/>
            </w:pPr>
          </w:p>
        </w:tc>
      </w:tr>
      <w:tr w:rsidR="00150C8E" w:rsidRPr="001C12BC">
        <w:trPr>
          <w:gridBefore w:val="1"/>
        </w:trPr>
        <w:tc>
          <w:tcPr>
            <w:tcW w:w="4473" w:type="dxa"/>
            <w:gridSpan w:val="4"/>
          </w:tcPr>
          <w:p w:rsidR="00150C8E" w:rsidRPr="001C12BC" w:rsidRDefault="00150C8E" w:rsidP="00E42A5A">
            <w:pPr>
              <w:jc w:val="both"/>
            </w:pPr>
            <w:r w:rsidRPr="001C12BC">
              <w:t>2. Informarea societăţii civile cu privire la eventualul impact asupra mediului, în urma implementării proiectului de act  normativ, precum şi efectele asupra sănătăţii şi securităţii cetăţenilor sau diversităţii biologice</w:t>
            </w:r>
          </w:p>
          <w:p w:rsidR="00150C8E" w:rsidRPr="001C12BC" w:rsidRDefault="00150C8E" w:rsidP="00E42A5A">
            <w:pPr>
              <w:jc w:val="both"/>
            </w:pPr>
          </w:p>
        </w:tc>
        <w:tc>
          <w:tcPr>
            <w:tcW w:w="5829" w:type="dxa"/>
            <w:gridSpan w:val="6"/>
          </w:tcPr>
          <w:p w:rsidR="00150C8E" w:rsidRPr="001C12BC" w:rsidRDefault="00150C8E" w:rsidP="00E42A5A">
            <w:r w:rsidRPr="001C12BC">
              <w:t>Proiectul de act normativ nu se referă la acest subiect.</w:t>
            </w:r>
          </w:p>
        </w:tc>
      </w:tr>
      <w:tr w:rsidR="00150C8E" w:rsidRPr="001C12BC">
        <w:trPr>
          <w:gridBefore w:val="1"/>
        </w:trPr>
        <w:tc>
          <w:tcPr>
            <w:tcW w:w="4473" w:type="dxa"/>
            <w:gridSpan w:val="4"/>
          </w:tcPr>
          <w:p w:rsidR="00150C8E" w:rsidRDefault="00150C8E" w:rsidP="00E42A5A">
            <w:pPr>
              <w:jc w:val="both"/>
            </w:pPr>
            <w:r w:rsidRPr="001C12BC">
              <w:t>3. Alte informaţii</w:t>
            </w:r>
          </w:p>
          <w:p w:rsidR="00150C8E" w:rsidRDefault="00150C8E" w:rsidP="00E42A5A">
            <w:pPr>
              <w:jc w:val="both"/>
            </w:pPr>
          </w:p>
          <w:p w:rsidR="00150C8E" w:rsidRDefault="00150C8E" w:rsidP="00E42A5A">
            <w:pPr>
              <w:jc w:val="both"/>
            </w:pPr>
          </w:p>
          <w:p w:rsidR="00150C8E" w:rsidRDefault="00150C8E" w:rsidP="00E42A5A">
            <w:pPr>
              <w:jc w:val="both"/>
            </w:pPr>
          </w:p>
          <w:p w:rsidR="00150C8E" w:rsidRDefault="00150C8E" w:rsidP="00E42A5A">
            <w:pPr>
              <w:jc w:val="both"/>
            </w:pPr>
          </w:p>
          <w:p w:rsidR="00150C8E" w:rsidRDefault="00150C8E" w:rsidP="00E42A5A">
            <w:pPr>
              <w:jc w:val="both"/>
            </w:pPr>
          </w:p>
          <w:p w:rsidR="00150C8E" w:rsidRDefault="00150C8E" w:rsidP="00E42A5A">
            <w:pPr>
              <w:jc w:val="both"/>
            </w:pPr>
          </w:p>
          <w:p w:rsidR="00150C8E" w:rsidRDefault="00150C8E" w:rsidP="00E42A5A">
            <w:pPr>
              <w:jc w:val="both"/>
            </w:pPr>
          </w:p>
          <w:p w:rsidR="00150C8E" w:rsidRPr="001C12BC" w:rsidRDefault="00150C8E" w:rsidP="00E42A5A">
            <w:pPr>
              <w:jc w:val="both"/>
            </w:pPr>
          </w:p>
        </w:tc>
        <w:tc>
          <w:tcPr>
            <w:tcW w:w="5829" w:type="dxa"/>
            <w:gridSpan w:val="6"/>
          </w:tcPr>
          <w:p w:rsidR="00150C8E" w:rsidRPr="001C12BC" w:rsidRDefault="00150C8E" w:rsidP="00E42A5A">
            <w:r w:rsidRPr="001C12BC">
              <w:t>Proiectul de act normativ nu se referă la acest subiect.</w:t>
            </w:r>
          </w:p>
          <w:p w:rsidR="00150C8E" w:rsidRPr="001C12BC" w:rsidRDefault="00150C8E" w:rsidP="00E42A5A"/>
          <w:p w:rsidR="00150C8E" w:rsidRPr="001C12BC" w:rsidRDefault="00150C8E" w:rsidP="00E42A5A"/>
          <w:p w:rsidR="00150C8E" w:rsidRPr="001C12BC" w:rsidRDefault="00150C8E" w:rsidP="00E42A5A"/>
          <w:p w:rsidR="00150C8E" w:rsidRPr="001C12BC" w:rsidRDefault="00150C8E" w:rsidP="00E42A5A"/>
          <w:p w:rsidR="00150C8E" w:rsidRPr="001C12BC" w:rsidRDefault="00150C8E" w:rsidP="00E42A5A"/>
        </w:tc>
      </w:tr>
      <w:tr w:rsidR="00150C8E" w:rsidRPr="001C12BC">
        <w:trPr>
          <w:gridBefore w:val="1"/>
        </w:trPr>
        <w:tc>
          <w:tcPr>
            <w:tcW w:w="10302" w:type="dxa"/>
            <w:gridSpan w:val="10"/>
          </w:tcPr>
          <w:p w:rsidR="00150C8E" w:rsidRPr="001C12BC" w:rsidRDefault="00150C8E" w:rsidP="00E42A5A">
            <w:pPr>
              <w:jc w:val="center"/>
              <w:rPr>
                <w:b/>
                <w:bCs/>
              </w:rPr>
            </w:pPr>
          </w:p>
          <w:p w:rsidR="00150C8E" w:rsidRPr="001C12BC" w:rsidRDefault="00150C8E" w:rsidP="00E42A5A">
            <w:pPr>
              <w:jc w:val="center"/>
              <w:rPr>
                <w:b/>
                <w:bCs/>
                <w:i/>
                <w:iCs/>
              </w:rPr>
            </w:pPr>
            <w:r w:rsidRPr="001C12BC">
              <w:rPr>
                <w:b/>
                <w:bCs/>
                <w:i/>
                <w:iCs/>
              </w:rPr>
              <w:t>Secţiunea a 8-a</w:t>
            </w:r>
          </w:p>
          <w:p w:rsidR="00150C8E" w:rsidRPr="001C12BC" w:rsidRDefault="00150C8E" w:rsidP="00E42A5A">
            <w:pPr>
              <w:jc w:val="center"/>
              <w:rPr>
                <w:b/>
                <w:bCs/>
                <w:i/>
                <w:iCs/>
              </w:rPr>
            </w:pPr>
            <w:r w:rsidRPr="001C12BC">
              <w:rPr>
                <w:b/>
                <w:bCs/>
                <w:i/>
                <w:iCs/>
              </w:rPr>
              <w:t>Măsuri de implementare</w:t>
            </w:r>
          </w:p>
          <w:p w:rsidR="00150C8E" w:rsidRPr="001C12BC" w:rsidRDefault="00150C8E" w:rsidP="00E42A5A">
            <w:pPr>
              <w:jc w:val="center"/>
              <w:rPr>
                <w:b/>
                <w:bCs/>
              </w:rPr>
            </w:pPr>
          </w:p>
        </w:tc>
      </w:tr>
      <w:tr w:rsidR="00150C8E" w:rsidRPr="001C12BC">
        <w:trPr>
          <w:gridBefore w:val="1"/>
        </w:trPr>
        <w:tc>
          <w:tcPr>
            <w:tcW w:w="4473" w:type="dxa"/>
            <w:gridSpan w:val="4"/>
          </w:tcPr>
          <w:p w:rsidR="00150C8E" w:rsidRPr="001C12BC" w:rsidRDefault="00150C8E" w:rsidP="00E42A5A">
            <w:pPr>
              <w:jc w:val="both"/>
            </w:pPr>
            <w:r w:rsidRPr="001C12BC">
              <w:t>1. Măsurile de punere în aplicare a actului normativ de către autorităţile administraţiei publice centrale şi/sau locale - înfiinţarea unor noi organisme sau extinderea competen</w:t>
            </w:r>
            <w:r w:rsidRPr="001C12BC">
              <w:rPr>
                <w:rFonts w:ascii="Tahoma" w:hAnsi="Tahoma" w:cs="Tahoma"/>
              </w:rPr>
              <w:t>ț</w:t>
            </w:r>
            <w:r w:rsidRPr="001C12BC">
              <w:t>elor instituţiilor existente</w:t>
            </w: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r w:rsidR="00150C8E" w:rsidRPr="001C12BC">
        <w:trPr>
          <w:gridBefore w:val="1"/>
        </w:trPr>
        <w:tc>
          <w:tcPr>
            <w:tcW w:w="4473" w:type="dxa"/>
            <w:gridSpan w:val="4"/>
          </w:tcPr>
          <w:p w:rsidR="00150C8E" w:rsidRPr="001C12BC" w:rsidRDefault="00150C8E" w:rsidP="00E42A5A">
            <w:pPr>
              <w:jc w:val="both"/>
            </w:pPr>
            <w:r w:rsidRPr="001C12BC">
              <w:t>2. Alte informaţii</w:t>
            </w:r>
          </w:p>
          <w:p w:rsidR="00150C8E" w:rsidRPr="001C12BC" w:rsidRDefault="00150C8E" w:rsidP="00E42A5A">
            <w:pPr>
              <w:jc w:val="both"/>
            </w:pPr>
          </w:p>
        </w:tc>
        <w:tc>
          <w:tcPr>
            <w:tcW w:w="5829" w:type="dxa"/>
            <w:gridSpan w:val="6"/>
          </w:tcPr>
          <w:p w:rsidR="00150C8E" w:rsidRPr="001C12BC" w:rsidRDefault="00150C8E" w:rsidP="00E42A5A">
            <w:pPr>
              <w:jc w:val="both"/>
            </w:pPr>
            <w:r w:rsidRPr="001C12BC">
              <w:t>Proiectul de act normativ nu se referă la acest subiect.</w:t>
            </w:r>
          </w:p>
        </w:tc>
      </w:tr>
    </w:tbl>
    <w:p w:rsidR="00150C8E" w:rsidRPr="001C12BC" w:rsidRDefault="00150C8E" w:rsidP="009D4883">
      <w:pPr>
        <w:autoSpaceDE w:val="0"/>
        <w:autoSpaceDN w:val="0"/>
        <w:adjustRightInd w:val="0"/>
        <w:jc w:val="both"/>
        <w:rPr>
          <w:noProof w:val="0"/>
        </w:rPr>
      </w:pPr>
      <w:r>
        <w:rPr>
          <w:noProof w:val="0"/>
        </w:rPr>
        <w:t xml:space="preserve">          </w:t>
      </w:r>
      <w:r w:rsidRPr="001C12BC">
        <w:rPr>
          <w:noProof w:val="0"/>
        </w:rPr>
        <w:t>Fa</w:t>
      </w:r>
      <w:r w:rsidRPr="001C12BC">
        <w:rPr>
          <w:rFonts w:ascii="Tahoma" w:hAnsi="Tahoma" w:cs="Tahoma"/>
          <w:noProof w:val="0"/>
        </w:rPr>
        <w:t>ț</w:t>
      </w:r>
      <w:r w:rsidRPr="001C12BC">
        <w:rPr>
          <w:noProof w:val="0"/>
        </w:rPr>
        <w:t>ă de cele prezentate, a fost promovată prezenta Ordonan</w:t>
      </w:r>
      <w:r w:rsidRPr="001C12BC">
        <w:rPr>
          <w:rFonts w:ascii="Tahoma" w:hAnsi="Tahoma" w:cs="Tahoma"/>
          <w:noProof w:val="0"/>
        </w:rPr>
        <w:t>ț</w:t>
      </w:r>
      <w:r w:rsidRPr="001C12BC">
        <w:rPr>
          <w:noProof w:val="0"/>
        </w:rPr>
        <w:t xml:space="preserve">a a Guvernului pentru reglementarea unor măsuri fiscal-bugetare </w:t>
      </w:r>
      <w:r w:rsidRPr="001C12BC">
        <w:rPr>
          <w:rFonts w:ascii="Tahoma" w:hAnsi="Tahoma" w:cs="Tahoma"/>
          <w:noProof w:val="0"/>
        </w:rPr>
        <w:t>ș</w:t>
      </w:r>
      <w:r w:rsidRPr="001C12BC">
        <w:rPr>
          <w:noProof w:val="0"/>
        </w:rPr>
        <w:t xml:space="preserve">i modificarea </w:t>
      </w:r>
      <w:r w:rsidRPr="001C12BC">
        <w:rPr>
          <w:rFonts w:ascii="Tahoma" w:hAnsi="Tahoma" w:cs="Tahoma"/>
          <w:noProof w:val="0"/>
        </w:rPr>
        <w:t>ș</w:t>
      </w:r>
      <w:r w:rsidRPr="001C12BC">
        <w:rPr>
          <w:noProof w:val="0"/>
        </w:rPr>
        <w:t>i completarea unor acte normative.</w:t>
      </w:r>
    </w:p>
    <w:p w:rsidR="00150C8E" w:rsidRPr="001C12BC" w:rsidRDefault="00150C8E" w:rsidP="00ED6942">
      <w:pPr>
        <w:jc w:val="center"/>
        <w:rPr>
          <w:noProof w:val="0"/>
        </w:rPr>
      </w:pPr>
    </w:p>
    <w:p w:rsidR="00150C8E" w:rsidRPr="001C12BC" w:rsidRDefault="00150C8E" w:rsidP="008401BD">
      <w:pPr>
        <w:jc w:val="center"/>
        <w:rPr>
          <w:b/>
          <w:bCs/>
          <w:noProof w:val="0"/>
          <w:sz w:val="28"/>
          <w:szCs w:val="28"/>
        </w:rPr>
      </w:pPr>
    </w:p>
    <w:p w:rsidR="00150C8E" w:rsidRPr="001C12BC" w:rsidRDefault="00150C8E" w:rsidP="008401BD">
      <w:pPr>
        <w:autoSpaceDE w:val="0"/>
        <w:autoSpaceDN w:val="0"/>
        <w:adjustRightInd w:val="0"/>
        <w:jc w:val="center"/>
        <w:rPr>
          <w:b/>
          <w:bCs/>
          <w:noProof w:val="0"/>
          <w:sz w:val="28"/>
          <w:szCs w:val="28"/>
        </w:rPr>
      </w:pPr>
      <w:r w:rsidRPr="001C12BC">
        <w:rPr>
          <w:b/>
          <w:bCs/>
          <w:noProof w:val="0"/>
          <w:sz w:val="28"/>
          <w:szCs w:val="28"/>
        </w:rPr>
        <w:t>Ministrul finan</w:t>
      </w:r>
      <w:r w:rsidRPr="001C12BC">
        <w:rPr>
          <w:rFonts w:ascii="Tahoma" w:hAnsi="Tahoma" w:cs="Tahoma"/>
          <w:b/>
          <w:bCs/>
          <w:noProof w:val="0"/>
          <w:sz w:val="28"/>
          <w:szCs w:val="28"/>
        </w:rPr>
        <w:t>ț</w:t>
      </w:r>
      <w:r w:rsidRPr="001C12BC">
        <w:rPr>
          <w:b/>
          <w:bCs/>
          <w:noProof w:val="0"/>
          <w:sz w:val="28"/>
          <w:szCs w:val="28"/>
        </w:rPr>
        <w:t>elor publice</w:t>
      </w:r>
    </w:p>
    <w:p w:rsidR="00150C8E" w:rsidRPr="001C12BC" w:rsidRDefault="00150C8E" w:rsidP="008401BD">
      <w:pPr>
        <w:autoSpaceDE w:val="0"/>
        <w:autoSpaceDN w:val="0"/>
        <w:adjustRightInd w:val="0"/>
        <w:jc w:val="center"/>
        <w:rPr>
          <w:b/>
          <w:bCs/>
          <w:noProof w:val="0"/>
          <w:sz w:val="28"/>
          <w:szCs w:val="28"/>
        </w:rPr>
      </w:pPr>
      <w:r w:rsidRPr="001C12BC">
        <w:rPr>
          <w:b/>
          <w:bCs/>
          <w:noProof w:val="0"/>
          <w:sz w:val="28"/>
          <w:szCs w:val="28"/>
        </w:rPr>
        <w:t>Ionu</w:t>
      </w:r>
      <w:r w:rsidRPr="001C12BC">
        <w:rPr>
          <w:rFonts w:ascii="Tahoma" w:hAnsi="Tahoma" w:cs="Tahoma"/>
          <w:b/>
          <w:bCs/>
          <w:noProof w:val="0"/>
          <w:sz w:val="28"/>
          <w:szCs w:val="28"/>
        </w:rPr>
        <w:t>ț</w:t>
      </w:r>
      <w:r w:rsidRPr="001C12BC">
        <w:rPr>
          <w:b/>
          <w:bCs/>
          <w:noProof w:val="0"/>
          <w:sz w:val="28"/>
          <w:szCs w:val="28"/>
        </w:rPr>
        <w:t xml:space="preserve"> MI</w:t>
      </w:r>
      <w:r w:rsidRPr="001C12BC">
        <w:rPr>
          <w:rFonts w:ascii="Tahoma" w:hAnsi="Tahoma" w:cs="Tahoma"/>
          <w:b/>
          <w:bCs/>
          <w:noProof w:val="0"/>
          <w:sz w:val="28"/>
          <w:szCs w:val="28"/>
        </w:rPr>
        <w:t>Ș</w:t>
      </w:r>
      <w:r w:rsidRPr="001C12BC">
        <w:rPr>
          <w:b/>
          <w:bCs/>
          <w:noProof w:val="0"/>
          <w:sz w:val="28"/>
          <w:szCs w:val="28"/>
        </w:rPr>
        <w:t>A</w:t>
      </w:r>
    </w:p>
    <w:p w:rsidR="00150C8E" w:rsidRPr="001C12BC" w:rsidRDefault="00150C8E" w:rsidP="00E912C2">
      <w:pPr>
        <w:autoSpaceDE w:val="0"/>
        <w:autoSpaceDN w:val="0"/>
        <w:adjustRightInd w:val="0"/>
        <w:rPr>
          <w:noProof w:val="0"/>
        </w:rPr>
      </w:pPr>
    </w:p>
    <w:p w:rsidR="00150C8E" w:rsidRPr="001C12BC" w:rsidRDefault="00150C8E" w:rsidP="00E912C2">
      <w:pPr>
        <w:autoSpaceDE w:val="0"/>
        <w:autoSpaceDN w:val="0"/>
        <w:adjustRightInd w:val="0"/>
        <w:rPr>
          <w:noProof w:val="0"/>
        </w:rPr>
      </w:pPr>
    </w:p>
    <w:p w:rsidR="00150C8E" w:rsidRPr="001C12BC" w:rsidRDefault="00150C8E" w:rsidP="00ED6942">
      <w:pPr>
        <w:jc w:val="center"/>
        <w:rPr>
          <w:b/>
          <w:bCs/>
        </w:rPr>
      </w:pPr>
    </w:p>
    <w:p w:rsidR="00150C8E" w:rsidRPr="001C12BC" w:rsidRDefault="00150C8E" w:rsidP="00713E27">
      <w:pPr>
        <w:jc w:val="center"/>
        <w:rPr>
          <w:b/>
          <w:bCs/>
        </w:rPr>
      </w:pPr>
      <w:r w:rsidRPr="001C12BC">
        <w:rPr>
          <w:b/>
          <w:bCs/>
        </w:rPr>
        <w:t>AVIZAT FAVORABIL</w:t>
      </w:r>
    </w:p>
    <w:p w:rsidR="00150C8E" w:rsidRPr="001C12BC" w:rsidRDefault="00150C8E" w:rsidP="00713E27">
      <w:pPr>
        <w:jc w:val="center"/>
        <w:rPr>
          <w:b/>
          <w:bCs/>
        </w:rPr>
      </w:pPr>
    </w:p>
    <w:p w:rsidR="00150C8E" w:rsidRPr="001C12BC" w:rsidRDefault="00150C8E" w:rsidP="00713E27">
      <w:pPr>
        <w:jc w:val="center"/>
        <w:rPr>
          <w:b/>
          <w:bCs/>
          <w:sz w:val="28"/>
          <w:szCs w:val="28"/>
        </w:rPr>
      </w:pPr>
      <w:r w:rsidRPr="001C12BC">
        <w:rPr>
          <w:b/>
          <w:bCs/>
          <w:sz w:val="28"/>
          <w:szCs w:val="28"/>
        </w:rPr>
        <w:t>Ministrul Comunica</w:t>
      </w:r>
      <w:r w:rsidRPr="001C12BC">
        <w:rPr>
          <w:rFonts w:ascii="Tahoma" w:hAnsi="Tahoma" w:cs="Tahoma"/>
          <w:b/>
          <w:bCs/>
          <w:sz w:val="28"/>
          <w:szCs w:val="28"/>
        </w:rPr>
        <w:t>ț</w:t>
      </w:r>
      <w:r w:rsidRPr="001C12BC">
        <w:rPr>
          <w:b/>
          <w:bCs/>
          <w:sz w:val="28"/>
          <w:szCs w:val="28"/>
        </w:rPr>
        <w:t xml:space="preserve">iilor </w:t>
      </w:r>
      <w:r w:rsidRPr="001C12BC">
        <w:rPr>
          <w:rFonts w:ascii="Tahoma" w:hAnsi="Tahoma" w:cs="Tahoma"/>
          <w:b/>
          <w:bCs/>
          <w:sz w:val="28"/>
          <w:szCs w:val="28"/>
        </w:rPr>
        <w:t>ș</w:t>
      </w:r>
      <w:r w:rsidRPr="001C12BC">
        <w:rPr>
          <w:b/>
          <w:bCs/>
          <w:sz w:val="28"/>
          <w:szCs w:val="28"/>
        </w:rPr>
        <w:t>i Societă</w:t>
      </w:r>
      <w:r w:rsidRPr="001C12BC">
        <w:rPr>
          <w:rFonts w:ascii="Tahoma" w:hAnsi="Tahoma" w:cs="Tahoma"/>
          <w:b/>
          <w:bCs/>
          <w:sz w:val="28"/>
          <w:szCs w:val="28"/>
        </w:rPr>
        <w:t>ț</w:t>
      </w:r>
      <w:r w:rsidRPr="001C12BC">
        <w:rPr>
          <w:b/>
          <w:bCs/>
          <w:sz w:val="28"/>
          <w:szCs w:val="28"/>
        </w:rPr>
        <w:t>ii Informa</w:t>
      </w:r>
      <w:r w:rsidRPr="001C12BC">
        <w:rPr>
          <w:rFonts w:ascii="Tahoma" w:hAnsi="Tahoma" w:cs="Tahoma"/>
          <w:b/>
          <w:bCs/>
          <w:sz w:val="28"/>
          <w:szCs w:val="28"/>
        </w:rPr>
        <w:t>ț</w:t>
      </w:r>
      <w:r w:rsidRPr="001C12BC">
        <w:rPr>
          <w:b/>
          <w:bCs/>
          <w:sz w:val="28"/>
          <w:szCs w:val="28"/>
        </w:rPr>
        <w:t>ionale</w:t>
      </w:r>
    </w:p>
    <w:p w:rsidR="00150C8E" w:rsidRPr="001C12BC" w:rsidRDefault="00150C8E" w:rsidP="00713E27">
      <w:pPr>
        <w:jc w:val="center"/>
        <w:rPr>
          <w:b/>
          <w:bCs/>
          <w:sz w:val="28"/>
          <w:szCs w:val="28"/>
        </w:rPr>
      </w:pPr>
      <w:r w:rsidRPr="001C12BC">
        <w:rPr>
          <w:b/>
          <w:bCs/>
          <w:sz w:val="28"/>
          <w:szCs w:val="28"/>
        </w:rPr>
        <w:t xml:space="preserve">Lucian </w:t>
      </w:r>
      <w:r w:rsidRPr="001C12BC">
        <w:rPr>
          <w:rFonts w:ascii="Tahoma" w:hAnsi="Tahoma" w:cs="Tahoma"/>
          <w:b/>
          <w:bCs/>
          <w:sz w:val="28"/>
          <w:szCs w:val="28"/>
        </w:rPr>
        <w:t>Ș</w:t>
      </w:r>
      <w:r w:rsidRPr="001C12BC">
        <w:rPr>
          <w:b/>
          <w:bCs/>
          <w:sz w:val="28"/>
          <w:szCs w:val="28"/>
        </w:rPr>
        <w:t>OVA</w:t>
      </w:r>
    </w:p>
    <w:p w:rsidR="00150C8E" w:rsidRPr="001C12BC" w:rsidRDefault="00150C8E" w:rsidP="00713E27">
      <w:pPr>
        <w:jc w:val="center"/>
        <w:rPr>
          <w:b/>
          <w:bCs/>
          <w:sz w:val="28"/>
          <w:szCs w:val="28"/>
        </w:rPr>
      </w:pPr>
    </w:p>
    <w:p w:rsidR="00150C8E" w:rsidRPr="001C12BC" w:rsidRDefault="00150C8E" w:rsidP="00713E27">
      <w:pPr>
        <w:jc w:val="center"/>
        <w:rPr>
          <w:b/>
          <w:bCs/>
          <w:sz w:val="28"/>
          <w:szCs w:val="28"/>
        </w:rPr>
      </w:pPr>
    </w:p>
    <w:p w:rsidR="00150C8E" w:rsidRPr="001C12BC" w:rsidRDefault="00150C8E" w:rsidP="00713E27">
      <w:pPr>
        <w:jc w:val="center"/>
        <w:rPr>
          <w:b/>
          <w:bCs/>
          <w:sz w:val="28"/>
          <w:szCs w:val="28"/>
        </w:rPr>
      </w:pPr>
    </w:p>
    <w:p w:rsidR="00150C8E" w:rsidRPr="001C12BC" w:rsidRDefault="00150C8E" w:rsidP="00713E27">
      <w:pPr>
        <w:jc w:val="center"/>
        <w:rPr>
          <w:b/>
          <w:bCs/>
          <w:sz w:val="28"/>
          <w:szCs w:val="28"/>
        </w:rPr>
      </w:pPr>
    </w:p>
    <w:p w:rsidR="00150C8E" w:rsidRPr="001C12BC" w:rsidRDefault="00150C8E" w:rsidP="00713E27">
      <w:pPr>
        <w:jc w:val="center"/>
        <w:rPr>
          <w:b/>
          <w:bCs/>
          <w:sz w:val="28"/>
          <w:szCs w:val="28"/>
        </w:rPr>
      </w:pPr>
      <w:r w:rsidRPr="001C12BC">
        <w:rPr>
          <w:b/>
          <w:bCs/>
          <w:sz w:val="28"/>
          <w:szCs w:val="28"/>
        </w:rPr>
        <w:t>Ministrul Justi</w:t>
      </w:r>
      <w:r w:rsidRPr="001C12BC">
        <w:rPr>
          <w:rFonts w:ascii="Tahoma" w:hAnsi="Tahoma" w:cs="Tahoma"/>
          <w:b/>
          <w:bCs/>
          <w:sz w:val="28"/>
          <w:szCs w:val="28"/>
        </w:rPr>
        <w:t>ț</w:t>
      </w:r>
      <w:r w:rsidRPr="001C12BC">
        <w:rPr>
          <w:b/>
          <w:bCs/>
          <w:sz w:val="28"/>
          <w:szCs w:val="28"/>
        </w:rPr>
        <w:t>iei</w:t>
      </w:r>
    </w:p>
    <w:p w:rsidR="00150C8E" w:rsidRPr="001C12BC" w:rsidRDefault="00150C8E" w:rsidP="00713E27">
      <w:pPr>
        <w:jc w:val="center"/>
        <w:rPr>
          <w:b/>
          <w:bCs/>
          <w:sz w:val="28"/>
          <w:szCs w:val="28"/>
        </w:rPr>
      </w:pPr>
      <w:r w:rsidRPr="001C12BC">
        <w:rPr>
          <w:b/>
          <w:bCs/>
          <w:sz w:val="28"/>
          <w:szCs w:val="28"/>
        </w:rPr>
        <w:t>Tudorel TOADER</w:t>
      </w:r>
    </w:p>
    <w:p w:rsidR="00150C8E" w:rsidRPr="001C12BC" w:rsidRDefault="00150C8E" w:rsidP="00713E27">
      <w:pPr>
        <w:jc w:val="center"/>
        <w:rPr>
          <w:b/>
          <w:bCs/>
          <w:sz w:val="28"/>
          <w:szCs w:val="28"/>
        </w:rPr>
      </w:pPr>
    </w:p>
    <w:p w:rsidR="00150C8E" w:rsidRPr="001C12BC" w:rsidRDefault="00150C8E" w:rsidP="00713E27">
      <w:pPr>
        <w:jc w:val="center"/>
        <w:rPr>
          <w:b/>
          <w:bCs/>
        </w:rPr>
      </w:pPr>
    </w:p>
    <w:sectPr w:rsidR="00150C8E" w:rsidRPr="001C12BC" w:rsidSect="000A5C18">
      <w:footerReference w:type="default" r:id="rId7"/>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8E" w:rsidRDefault="00150C8E">
      <w:r>
        <w:separator/>
      </w:r>
    </w:p>
  </w:endnote>
  <w:endnote w:type="continuationSeparator" w:id="0">
    <w:p w:rsidR="00150C8E" w:rsidRDefault="00150C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8E" w:rsidRPr="002C33BB" w:rsidRDefault="00150C8E">
    <w:pPr>
      <w:pStyle w:val="Footer"/>
      <w:jc w:val="center"/>
      <w:rPr>
        <w:sz w:val="20"/>
        <w:szCs w:val="20"/>
      </w:rPr>
    </w:pPr>
    <w:r w:rsidRPr="002C33BB">
      <w:rPr>
        <w:sz w:val="20"/>
        <w:szCs w:val="20"/>
      </w:rPr>
      <w:fldChar w:fldCharType="begin"/>
    </w:r>
    <w:r w:rsidRPr="002C33BB">
      <w:rPr>
        <w:sz w:val="20"/>
        <w:szCs w:val="20"/>
      </w:rPr>
      <w:instrText xml:space="preserve"> PAGE   \* MERGEFORMAT </w:instrText>
    </w:r>
    <w:r w:rsidRPr="002C33BB">
      <w:rPr>
        <w:sz w:val="20"/>
        <w:szCs w:val="20"/>
      </w:rPr>
      <w:fldChar w:fldCharType="separate"/>
    </w:r>
    <w:r>
      <w:rPr>
        <w:sz w:val="20"/>
        <w:szCs w:val="20"/>
      </w:rPr>
      <w:t>9</w:t>
    </w:r>
    <w:r w:rsidRPr="002C33BB">
      <w:rPr>
        <w:sz w:val="20"/>
        <w:szCs w:val="20"/>
      </w:rPr>
      <w:fldChar w:fldCharType="end"/>
    </w:r>
  </w:p>
  <w:p w:rsidR="00150C8E" w:rsidRDefault="00150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8E" w:rsidRDefault="00150C8E">
      <w:r>
        <w:separator/>
      </w:r>
    </w:p>
  </w:footnote>
  <w:footnote w:type="continuationSeparator" w:id="0">
    <w:p w:rsidR="00150C8E" w:rsidRDefault="00150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854"/>
    <w:multiLevelType w:val="hybridMultilevel"/>
    <w:tmpl w:val="39CEE21A"/>
    <w:lvl w:ilvl="0" w:tplc="F42E40A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C53AE1"/>
    <w:multiLevelType w:val="hybridMultilevel"/>
    <w:tmpl w:val="F7AE56E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0C7B0E99"/>
    <w:multiLevelType w:val="hybridMultilevel"/>
    <w:tmpl w:val="60F4EAD8"/>
    <w:lvl w:ilvl="0" w:tplc="C1A087EC">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103200D8"/>
    <w:multiLevelType w:val="hybridMultilevel"/>
    <w:tmpl w:val="100858D8"/>
    <w:lvl w:ilvl="0" w:tplc="04180001">
      <w:start w:val="1"/>
      <w:numFmt w:val="bullet"/>
      <w:lvlText w:val=""/>
      <w:lvlJc w:val="left"/>
      <w:pPr>
        <w:ind w:left="780" w:hanging="360"/>
      </w:pPr>
      <w:rPr>
        <w:rFonts w:ascii="Symbol" w:hAnsi="Symbol" w:cs="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4">
    <w:nsid w:val="12741DD8"/>
    <w:multiLevelType w:val="hybridMultilevel"/>
    <w:tmpl w:val="2890AA0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1AD21196"/>
    <w:multiLevelType w:val="hybridMultilevel"/>
    <w:tmpl w:val="9588F1DA"/>
    <w:lvl w:ilvl="0" w:tplc="04180001">
      <w:start w:val="1"/>
      <w:numFmt w:val="bullet"/>
      <w:lvlText w:val=""/>
      <w:lvlJc w:val="left"/>
      <w:pPr>
        <w:ind w:left="900" w:hanging="360"/>
      </w:pPr>
      <w:rPr>
        <w:rFonts w:ascii="Symbol" w:hAnsi="Symbol" w:cs="Symbol"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cs="Wingdings" w:hint="default"/>
      </w:rPr>
    </w:lvl>
    <w:lvl w:ilvl="3" w:tplc="04180001">
      <w:start w:val="1"/>
      <w:numFmt w:val="bullet"/>
      <w:lvlText w:val=""/>
      <w:lvlJc w:val="left"/>
      <w:pPr>
        <w:ind w:left="3060" w:hanging="360"/>
      </w:pPr>
      <w:rPr>
        <w:rFonts w:ascii="Symbol" w:hAnsi="Symbol" w:cs="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cs="Wingdings" w:hint="default"/>
      </w:rPr>
    </w:lvl>
    <w:lvl w:ilvl="6" w:tplc="04180001">
      <w:start w:val="1"/>
      <w:numFmt w:val="bullet"/>
      <w:lvlText w:val=""/>
      <w:lvlJc w:val="left"/>
      <w:pPr>
        <w:ind w:left="5220" w:hanging="360"/>
      </w:pPr>
      <w:rPr>
        <w:rFonts w:ascii="Symbol" w:hAnsi="Symbol" w:cs="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cs="Wingdings" w:hint="default"/>
      </w:rPr>
    </w:lvl>
  </w:abstractNum>
  <w:abstractNum w:abstractNumId="6">
    <w:nsid w:val="22E97E12"/>
    <w:multiLevelType w:val="hybridMultilevel"/>
    <w:tmpl w:val="0408FD4A"/>
    <w:lvl w:ilvl="0" w:tplc="071E7EC6">
      <w:start w:val="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2B6C027E"/>
    <w:multiLevelType w:val="hybridMultilevel"/>
    <w:tmpl w:val="480E9262"/>
    <w:lvl w:ilvl="0" w:tplc="4AE6B93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C626C"/>
    <w:multiLevelType w:val="hybridMultilevel"/>
    <w:tmpl w:val="F8545CB2"/>
    <w:lvl w:ilvl="0" w:tplc="7946F10C">
      <w:start w:val="1"/>
      <w:numFmt w:val="decimal"/>
      <w:lvlText w:val="%1."/>
      <w:lvlJc w:val="left"/>
      <w:pPr>
        <w:tabs>
          <w:tab w:val="num" w:pos="780"/>
        </w:tabs>
        <w:ind w:left="780" w:hanging="4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3D3152A"/>
    <w:multiLevelType w:val="hybridMultilevel"/>
    <w:tmpl w:val="33B6146A"/>
    <w:lvl w:ilvl="0" w:tplc="C7B4F562">
      <w:numFmt w:val="bullet"/>
      <w:lvlText w:val="-"/>
      <w:lvlJc w:val="left"/>
      <w:pPr>
        <w:ind w:left="420" w:hanging="360"/>
      </w:pPr>
      <w:rPr>
        <w:rFonts w:ascii="Times New Roman" w:eastAsia="Times New Roman" w:hAnsi="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cs="Wingdings" w:hint="default"/>
      </w:rPr>
    </w:lvl>
    <w:lvl w:ilvl="3" w:tplc="04180001">
      <w:start w:val="1"/>
      <w:numFmt w:val="bullet"/>
      <w:lvlText w:val=""/>
      <w:lvlJc w:val="left"/>
      <w:pPr>
        <w:ind w:left="2580" w:hanging="360"/>
      </w:pPr>
      <w:rPr>
        <w:rFonts w:ascii="Symbol" w:hAnsi="Symbol" w:cs="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cs="Wingdings" w:hint="default"/>
      </w:rPr>
    </w:lvl>
    <w:lvl w:ilvl="6" w:tplc="04180001">
      <w:start w:val="1"/>
      <w:numFmt w:val="bullet"/>
      <w:lvlText w:val=""/>
      <w:lvlJc w:val="left"/>
      <w:pPr>
        <w:ind w:left="4740" w:hanging="360"/>
      </w:pPr>
      <w:rPr>
        <w:rFonts w:ascii="Symbol" w:hAnsi="Symbol" w:cs="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cs="Wingdings" w:hint="default"/>
      </w:rPr>
    </w:lvl>
  </w:abstractNum>
  <w:abstractNum w:abstractNumId="10">
    <w:nsid w:val="586B4A57"/>
    <w:multiLevelType w:val="hybridMultilevel"/>
    <w:tmpl w:val="AACE44DC"/>
    <w:lvl w:ilvl="0" w:tplc="C1A087EC">
      <w:start w:val="1"/>
      <w:numFmt w:val="bullet"/>
      <w:lvlText w:val="-"/>
      <w:lvlJc w:val="left"/>
      <w:pPr>
        <w:tabs>
          <w:tab w:val="num" w:pos="660"/>
        </w:tabs>
        <w:ind w:left="660" w:hanging="360"/>
      </w:pPr>
      <w:rPr>
        <w:rFonts w:ascii="Times New Roman" w:eastAsia="Times New Roman" w:hAnsi="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cs="Wingdings" w:hint="default"/>
      </w:rPr>
    </w:lvl>
    <w:lvl w:ilvl="3" w:tplc="04090001">
      <w:start w:val="1"/>
      <w:numFmt w:val="bullet"/>
      <w:lvlText w:val=""/>
      <w:lvlJc w:val="left"/>
      <w:pPr>
        <w:tabs>
          <w:tab w:val="num" w:pos="2820"/>
        </w:tabs>
        <w:ind w:left="2820" w:hanging="360"/>
      </w:pPr>
      <w:rPr>
        <w:rFonts w:ascii="Symbol" w:hAnsi="Symbol" w:cs="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cs="Wingdings" w:hint="default"/>
      </w:rPr>
    </w:lvl>
    <w:lvl w:ilvl="6" w:tplc="04090001">
      <w:start w:val="1"/>
      <w:numFmt w:val="bullet"/>
      <w:lvlText w:val=""/>
      <w:lvlJc w:val="left"/>
      <w:pPr>
        <w:tabs>
          <w:tab w:val="num" w:pos="4980"/>
        </w:tabs>
        <w:ind w:left="4980" w:hanging="360"/>
      </w:pPr>
      <w:rPr>
        <w:rFonts w:ascii="Symbol" w:hAnsi="Symbol" w:cs="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cs="Wingdings" w:hint="default"/>
      </w:rPr>
    </w:lvl>
  </w:abstractNum>
  <w:abstractNum w:abstractNumId="11">
    <w:nsid w:val="58975D23"/>
    <w:multiLevelType w:val="hybridMultilevel"/>
    <w:tmpl w:val="A3C677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B0053B1"/>
    <w:multiLevelType w:val="multilevel"/>
    <w:tmpl w:val="016873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nsid w:val="5E104798"/>
    <w:multiLevelType w:val="hybridMultilevel"/>
    <w:tmpl w:val="4D563E0C"/>
    <w:lvl w:ilvl="0" w:tplc="04180001">
      <w:start w:val="1"/>
      <w:numFmt w:val="bullet"/>
      <w:lvlText w:val=""/>
      <w:lvlJc w:val="left"/>
      <w:pPr>
        <w:ind w:left="480" w:hanging="360"/>
      </w:pPr>
      <w:rPr>
        <w:rFonts w:ascii="Symbol" w:hAnsi="Symbol" w:cs="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14">
    <w:nsid w:val="5E2C0C6C"/>
    <w:multiLevelType w:val="hybridMultilevel"/>
    <w:tmpl w:val="683E6C8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66DD7906"/>
    <w:multiLevelType w:val="hybridMultilevel"/>
    <w:tmpl w:val="0932041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6AF5111C"/>
    <w:multiLevelType w:val="hybridMultilevel"/>
    <w:tmpl w:val="0D421F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6F5D109E"/>
    <w:multiLevelType w:val="hybridMultilevel"/>
    <w:tmpl w:val="208865E2"/>
    <w:lvl w:ilvl="0" w:tplc="5216788C">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6F751A28"/>
    <w:multiLevelType w:val="hybridMultilevel"/>
    <w:tmpl w:val="F4E45F68"/>
    <w:lvl w:ilvl="0" w:tplc="0D282DA8">
      <w:start w:val="1"/>
      <w:numFmt w:val="decimal"/>
      <w:lvlText w:val="%1."/>
      <w:lvlJc w:val="left"/>
      <w:pPr>
        <w:tabs>
          <w:tab w:val="num" w:pos="1785"/>
        </w:tabs>
        <w:ind w:left="1785" w:hanging="10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75243E5D"/>
    <w:multiLevelType w:val="hybridMultilevel"/>
    <w:tmpl w:val="9402A978"/>
    <w:lvl w:ilvl="0" w:tplc="0B26F658">
      <w:start w:val="1"/>
      <w:numFmt w:val="lowerLetter"/>
      <w:lvlText w:val="%1)"/>
      <w:lvlJc w:val="left"/>
      <w:pPr>
        <w:tabs>
          <w:tab w:val="num" w:pos="1080"/>
        </w:tabs>
        <w:ind w:left="1080" w:hanging="360"/>
      </w:pPr>
      <w:rPr>
        <w:rFonts w:ascii="Times New Roman" w:eastAsia="Times New Roman" w:hAnsi="Times New Roman"/>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17"/>
  </w:num>
  <w:num w:numId="2">
    <w:abstractNumId w:val="19"/>
  </w:num>
  <w:num w:numId="3">
    <w:abstractNumId w:val="11"/>
  </w:num>
  <w:num w:numId="4">
    <w:abstractNumId w:val="18"/>
  </w:num>
  <w:num w:numId="5">
    <w:abstractNumId w:val="10"/>
  </w:num>
  <w:num w:numId="6">
    <w:abstractNumId w:val="8"/>
  </w:num>
  <w:num w:numId="7">
    <w:abstractNumId w:val="0"/>
  </w:num>
  <w:num w:numId="8">
    <w:abstractNumId w:val="7"/>
  </w:num>
  <w:num w:numId="9">
    <w:abstractNumId w:val="2"/>
  </w:num>
  <w:num w:numId="10">
    <w:abstractNumId w:val="3"/>
  </w:num>
  <w:num w:numId="11">
    <w:abstractNumId w:val="9"/>
  </w:num>
  <w:num w:numId="12">
    <w:abstractNumId w:val="13"/>
  </w:num>
  <w:num w:numId="13">
    <w:abstractNumId w:val="1"/>
  </w:num>
  <w:num w:numId="14">
    <w:abstractNumId w:val="5"/>
  </w:num>
  <w:num w:numId="15">
    <w:abstractNumId w:val="16"/>
  </w:num>
  <w:num w:numId="16">
    <w:abstractNumId w:val="12"/>
  </w:num>
  <w:num w:numId="17">
    <w:abstractNumId w:val="15"/>
  </w:num>
  <w:num w:numId="18">
    <w:abstractNumId w:val="6"/>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BC9"/>
    <w:rsid w:val="0000057C"/>
    <w:rsid w:val="0000173E"/>
    <w:rsid w:val="00001744"/>
    <w:rsid w:val="000025D2"/>
    <w:rsid w:val="00006514"/>
    <w:rsid w:val="00007888"/>
    <w:rsid w:val="000129E1"/>
    <w:rsid w:val="00013D28"/>
    <w:rsid w:val="00016D41"/>
    <w:rsid w:val="000171C3"/>
    <w:rsid w:val="00020AF4"/>
    <w:rsid w:val="00022645"/>
    <w:rsid w:val="000262BB"/>
    <w:rsid w:val="00026621"/>
    <w:rsid w:val="00026654"/>
    <w:rsid w:val="00026FEF"/>
    <w:rsid w:val="00027223"/>
    <w:rsid w:val="00031071"/>
    <w:rsid w:val="00032F31"/>
    <w:rsid w:val="0003396F"/>
    <w:rsid w:val="00033A94"/>
    <w:rsid w:val="00034F65"/>
    <w:rsid w:val="00036F4E"/>
    <w:rsid w:val="0004193C"/>
    <w:rsid w:val="000472E5"/>
    <w:rsid w:val="000507DB"/>
    <w:rsid w:val="0005180D"/>
    <w:rsid w:val="00051E52"/>
    <w:rsid w:val="00063BF8"/>
    <w:rsid w:val="0006435F"/>
    <w:rsid w:val="00064D76"/>
    <w:rsid w:val="00067485"/>
    <w:rsid w:val="00070247"/>
    <w:rsid w:val="00072A77"/>
    <w:rsid w:val="00073C99"/>
    <w:rsid w:val="00080019"/>
    <w:rsid w:val="000801D8"/>
    <w:rsid w:val="0008088D"/>
    <w:rsid w:val="00080E16"/>
    <w:rsid w:val="00083516"/>
    <w:rsid w:val="00084977"/>
    <w:rsid w:val="00091982"/>
    <w:rsid w:val="000928A9"/>
    <w:rsid w:val="000943D6"/>
    <w:rsid w:val="00094510"/>
    <w:rsid w:val="00094B52"/>
    <w:rsid w:val="00095F1A"/>
    <w:rsid w:val="000A3738"/>
    <w:rsid w:val="000A49FC"/>
    <w:rsid w:val="000A56C2"/>
    <w:rsid w:val="000A5C18"/>
    <w:rsid w:val="000A5D17"/>
    <w:rsid w:val="000A5F58"/>
    <w:rsid w:val="000A7E51"/>
    <w:rsid w:val="000A7FBB"/>
    <w:rsid w:val="000B4834"/>
    <w:rsid w:val="000B76CD"/>
    <w:rsid w:val="000B7788"/>
    <w:rsid w:val="000C2152"/>
    <w:rsid w:val="000C2367"/>
    <w:rsid w:val="000C33EE"/>
    <w:rsid w:val="000C373E"/>
    <w:rsid w:val="000C3EEF"/>
    <w:rsid w:val="000C412A"/>
    <w:rsid w:val="000C6C9E"/>
    <w:rsid w:val="000D135B"/>
    <w:rsid w:val="000D5332"/>
    <w:rsid w:val="000D542A"/>
    <w:rsid w:val="000D5873"/>
    <w:rsid w:val="000D7D9A"/>
    <w:rsid w:val="000E5A83"/>
    <w:rsid w:val="000F0D20"/>
    <w:rsid w:val="000F156F"/>
    <w:rsid w:val="000F4A60"/>
    <w:rsid w:val="000F723A"/>
    <w:rsid w:val="0010271D"/>
    <w:rsid w:val="00104939"/>
    <w:rsid w:val="00105B09"/>
    <w:rsid w:val="001061CC"/>
    <w:rsid w:val="00106F41"/>
    <w:rsid w:val="00110C9B"/>
    <w:rsid w:val="00111BE2"/>
    <w:rsid w:val="001136F9"/>
    <w:rsid w:val="00113C72"/>
    <w:rsid w:val="00115692"/>
    <w:rsid w:val="00115988"/>
    <w:rsid w:val="00120073"/>
    <w:rsid w:val="0012018A"/>
    <w:rsid w:val="00125CA5"/>
    <w:rsid w:val="00125D33"/>
    <w:rsid w:val="001300C9"/>
    <w:rsid w:val="00131EC5"/>
    <w:rsid w:val="001329A8"/>
    <w:rsid w:val="00135AF0"/>
    <w:rsid w:val="001362C8"/>
    <w:rsid w:val="0014118E"/>
    <w:rsid w:val="0014140F"/>
    <w:rsid w:val="00142C11"/>
    <w:rsid w:val="00144D56"/>
    <w:rsid w:val="00145CFB"/>
    <w:rsid w:val="00146C82"/>
    <w:rsid w:val="00150C8E"/>
    <w:rsid w:val="00151D69"/>
    <w:rsid w:val="00151E4B"/>
    <w:rsid w:val="00152CB8"/>
    <w:rsid w:val="0015425A"/>
    <w:rsid w:val="00155B21"/>
    <w:rsid w:val="00161D4E"/>
    <w:rsid w:val="001630B9"/>
    <w:rsid w:val="00163DD6"/>
    <w:rsid w:val="001729FD"/>
    <w:rsid w:val="00172B73"/>
    <w:rsid w:val="001744D5"/>
    <w:rsid w:val="00175455"/>
    <w:rsid w:val="00175D1A"/>
    <w:rsid w:val="001763DE"/>
    <w:rsid w:val="00176DF1"/>
    <w:rsid w:val="00180B87"/>
    <w:rsid w:val="00182824"/>
    <w:rsid w:val="00184458"/>
    <w:rsid w:val="001852B6"/>
    <w:rsid w:val="00187311"/>
    <w:rsid w:val="00187781"/>
    <w:rsid w:val="0019029D"/>
    <w:rsid w:val="001938D3"/>
    <w:rsid w:val="001953A0"/>
    <w:rsid w:val="00196D5D"/>
    <w:rsid w:val="00197050"/>
    <w:rsid w:val="0019777D"/>
    <w:rsid w:val="001A1347"/>
    <w:rsid w:val="001A2A17"/>
    <w:rsid w:val="001A3F07"/>
    <w:rsid w:val="001A3F5F"/>
    <w:rsid w:val="001A5B96"/>
    <w:rsid w:val="001A76E5"/>
    <w:rsid w:val="001A7713"/>
    <w:rsid w:val="001B1C78"/>
    <w:rsid w:val="001B228A"/>
    <w:rsid w:val="001B274C"/>
    <w:rsid w:val="001B2EC4"/>
    <w:rsid w:val="001B435B"/>
    <w:rsid w:val="001B4F8F"/>
    <w:rsid w:val="001B6733"/>
    <w:rsid w:val="001C1231"/>
    <w:rsid w:val="001C12BC"/>
    <w:rsid w:val="001C1FC7"/>
    <w:rsid w:val="001C2AB9"/>
    <w:rsid w:val="001C2C7E"/>
    <w:rsid w:val="001C5A63"/>
    <w:rsid w:val="001C6529"/>
    <w:rsid w:val="001C7609"/>
    <w:rsid w:val="001D004B"/>
    <w:rsid w:val="001D1F84"/>
    <w:rsid w:val="001D2091"/>
    <w:rsid w:val="001D2304"/>
    <w:rsid w:val="001D30AD"/>
    <w:rsid w:val="001D67A0"/>
    <w:rsid w:val="001D7206"/>
    <w:rsid w:val="001D74A7"/>
    <w:rsid w:val="001D7ECD"/>
    <w:rsid w:val="001E08F1"/>
    <w:rsid w:val="001E0D64"/>
    <w:rsid w:val="001E271F"/>
    <w:rsid w:val="001E3486"/>
    <w:rsid w:val="001E4C0A"/>
    <w:rsid w:val="001F14C9"/>
    <w:rsid w:val="001F30B6"/>
    <w:rsid w:val="001F35CB"/>
    <w:rsid w:val="001F4548"/>
    <w:rsid w:val="001F6614"/>
    <w:rsid w:val="001F6FBC"/>
    <w:rsid w:val="00206F5A"/>
    <w:rsid w:val="002106FE"/>
    <w:rsid w:val="00210942"/>
    <w:rsid w:val="00213277"/>
    <w:rsid w:val="0021427D"/>
    <w:rsid w:val="002144C7"/>
    <w:rsid w:val="00214675"/>
    <w:rsid w:val="0021523B"/>
    <w:rsid w:val="00215A3D"/>
    <w:rsid w:val="00217422"/>
    <w:rsid w:val="00220D2D"/>
    <w:rsid w:val="00230BC1"/>
    <w:rsid w:val="00230FE0"/>
    <w:rsid w:val="00231204"/>
    <w:rsid w:val="0023325A"/>
    <w:rsid w:val="00233819"/>
    <w:rsid w:val="00233FA9"/>
    <w:rsid w:val="00236CB7"/>
    <w:rsid w:val="002404CB"/>
    <w:rsid w:val="00241827"/>
    <w:rsid w:val="0024355C"/>
    <w:rsid w:val="00245A45"/>
    <w:rsid w:val="0024638C"/>
    <w:rsid w:val="002504EE"/>
    <w:rsid w:val="00252F83"/>
    <w:rsid w:val="00253CE9"/>
    <w:rsid w:val="002540C2"/>
    <w:rsid w:val="00254DFF"/>
    <w:rsid w:val="00257956"/>
    <w:rsid w:val="00260640"/>
    <w:rsid w:val="00260A0C"/>
    <w:rsid w:val="00262DE7"/>
    <w:rsid w:val="00265034"/>
    <w:rsid w:val="00266266"/>
    <w:rsid w:val="00266466"/>
    <w:rsid w:val="00270293"/>
    <w:rsid w:val="00270DC5"/>
    <w:rsid w:val="00271D1B"/>
    <w:rsid w:val="002740C8"/>
    <w:rsid w:val="00280774"/>
    <w:rsid w:val="0028341E"/>
    <w:rsid w:val="00283873"/>
    <w:rsid w:val="002850D9"/>
    <w:rsid w:val="00287D56"/>
    <w:rsid w:val="00290AD1"/>
    <w:rsid w:val="002913BA"/>
    <w:rsid w:val="00296BB3"/>
    <w:rsid w:val="0029749E"/>
    <w:rsid w:val="002A292E"/>
    <w:rsid w:val="002A3C3E"/>
    <w:rsid w:val="002A4C45"/>
    <w:rsid w:val="002A6D6B"/>
    <w:rsid w:val="002A776B"/>
    <w:rsid w:val="002A793B"/>
    <w:rsid w:val="002A7D99"/>
    <w:rsid w:val="002B1FE6"/>
    <w:rsid w:val="002B3242"/>
    <w:rsid w:val="002B57D7"/>
    <w:rsid w:val="002B5AB6"/>
    <w:rsid w:val="002B5E69"/>
    <w:rsid w:val="002C088E"/>
    <w:rsid w:val="002C2569"/>
    <w:rsid w:val="002C33BB"/>
    <w:rsid w:val="002C375A"/>
    <w:rsid w:val="002C4077"/>
    <w:rsid w:val="002C489F"/>
    <w:rsid w:val="002C7C2F"/>
    <w:rsid w:val="002D0BD1"/>
    <w:rsid w:val="002D118C"/>
    <w:rsid w:val="002D2528"/>
    <w:rsid w:val="002D355E"/>
    <w:rsid w:val="002D4955"/>
    <w:rsid w:val="002D4FB6"/>
    <w:rsid w:val="002D6CE6"/>
    <w:rsid w:val="002D78D7"/>
    <w:rsid w:val="002D7D45"/>
    <w:rsid w:val="002E1A65"/>
    <w:rsid w:val="002E1AEE"/>
    <w:rsid w:val="002E272F"/>
    <w:rsid w:val="002E33D6"/>
    <w:rsid w:val="002E4B7A"/>
    <w:rsid w:val="002E5ABA"/>
    <w:rsid w:val="002F0759"/>
    <w:rsid w:val="002F2345"/>
    <w:rsid w:val="002F556D"/>
    <w:rsid w:val="002F705E"/>
    <w:rsid w:val="00300648"/>
    <w:rsid w:val="00301715"/>
    <w:rsid w:val="00301DCB"/>
    <w:rsid w:val="00303068"/>
    <w:rsid w:val="00306824"/>
    <w:rsid w:val="00307C26"/>
    <w:rsid w:val="00310F7F"/>
    <w:rsid w:val="003118D5"/>
    <w:rsid w:val="00312BB5"/>
    <w:rsid w:val="00313EDA"/>
    <w:rsid w:val="003159A1"/>
    <w:rsid w:val="00317BA9"/>
    <w:rsid w:val="00321F4F"/>
    <w:rsid w:val="00322D7F"/>
    <w:rsid w:val="00323053"/>
    <w:rsid w:val="00323299"/>
    <w:rsid w:val="00326210"/>
    <w:rsid w:val="0032701D"/>
    <w:rsid w:val="003319EF"/>
    <w:rsid w:val="00332384"/>
    <w:rsid w:val="003346A0"/>
    <w:rsid w:val="00334CD6"/>
    <w:rsid w:val="00340780"/>
    <w:rsid w:val="00342126"/>
    <w:rsid w:val="00343033"/>
    <w:rsid w:val="00344B33"/>
    <w:rsid w:val="003458D8"/>
    <w:rsid w:val="003506E6"/>
    <w:rsid w:val="00350925"/>
    <w:rsid w:val="003510CD"/>
    <w:rsid w:val="00352177"/>
    <w:rsid w:val="003648D4"/>
    <w:rsid w:val="00367683"/>
    <w:rsid w:val="00373482"/>
    <w:rsid w:val="00373CBB"/>
    <w:rsid w:val="003742A3"/>
    <w:rsid w:val="003749AC"/>
    <w:rsid w:val="0037512E"/>
    <w:rsid w:val="00376710"/>
    <w:rsid w:val="00376BD2"/>
    <w:rsid w:val="003778F6"/>
    <w:rsid w:val="00382D4E"/>
    <w:rsid w:val="00384414"/>
    <w:rsid w:val="00385B7B"/>
    <w:rsid w:val="00387252"/>
    <w:rsid w:val="00387B8C"/>
    <w:rsid w:val="0039378F"/>
    <w:rsid w:val="00395D55"/>
    <w:rsid w:val="003A5126"/>
    <w:rsid w:val="003A7617"/>
    <w:rsid w:val="003A7F9B"/>
    <w:rsid w:val="003A7FCA"/>
    <w:rsid w:val="003B0443"/>
    <w:rsid w:val="003B0DFD"/>
    <w:rsid w:val="003B637C"/>
    <w:rsid w:val="003B6ABF"/>
    <w:rsid w:val="003C1A8D"/>
    <w:rsid w:val="003C1D8A"/>
    <w:rsid w:val="003C5EE9"/>
    <w:rsid w:val="003C698D"/>
    <w:rsid w:val="003C6DF9"/>
    <w:rsid w:val="003C717E"/>
    <w:rsid w:val="003C777D"/>
    <w:rsid w:val="003C7F69"/>
    <w:rsid w:val="003D3A15"/>
    <w:rsid w:val="003D4633"/>
    <w:rsid w:val="003D4E5D"/>
    <w:rsid w:val="003D598A"/>
    <w:rsid w:val="003D6D4B"/>
    <w:rsid w:val="003E061E"/>
    <w:rsid w:val="003E18B8"/>
    <w:rsid w:val="003E46F7"/>
    <w:rsid w:val="003E4B3F"/>
    <w:rsid w:val="003E5CE1"/>
    <w:rsid w:val="003E7728"/>
    <w:rsid w:val="003F1EA8"/>
    <w:rsid w:val="003F7372"/>
    <w:rsid w:val="00400343"/>
    <w:rsid w:val="00400520"/>
    <w:rsid w:val="00400CA5"/>
    <w:rsid w:val="00402B27"/>
    <w:rsid w:val="004040D4"/>
    <w:rsid w:val="00404E50"/>
    <w:rsid w:val="00405B03"/>
    <w:rsid w:val="00407C8D"/>
    <w:rsid w:val="00410EBC"/>
    <w:rsid w:val="0041113D"/>
    <w:rsid w:val="004129DF"/>
    <w:rsid w:val="004134E7"/>
    <w:rsid w:val="00415C80"/>
    <w:rsid w:val="00415DB2"/>
    <w:rsid w:val="00415DE4"/>
    <w:rsid w:val="004162DD"/>
    <w:rsid w:val="00416C65"/>
    <w:rsid w:val="00416C76"/>
    <w:rsid w:val="004177D1"/>
    <w:rsid w:val="00417BAD"/>
    <w:rsid w:val="00420F58"/>
    <w:rsid w:val="00421867"/>
    <w:rsid w:val="00422187"/>
    <w:rsid w:val="00425727"/>
    <w:rsid w:val="00425F3D"/>
    <w:rsid w:val="00427216"/>
    <w:rsid w:val="00427D20"/>
    <w:rsid w:val="0043491F"/>
    <w:rsid w:val="004356D8"/>
    <w:rsid w:val="00437791"/>
    <w:rsid w:val="00440047"/>
    <w:rsid w:val="004401E7"/>
    <w:rsid w:val="0044409C"/>
    <w:rsid w:val="004443E9"/>
    <w:rsid w:val="00445017"/>
    <w:rsid w:val="00450009"/>
    <w:rsid w:val="0045056D"/>
    <w:rsid w:val="004514C2"/>
    <w:rsid w:val="00454CBE"/>
    <w:rsid w:val="00454F1C"/>
    <w:rsid w:val="0045698A"/>
    <w:rsid w:val="00457A2E"/>
    <w:rsid w:val="00462899"/>
    <w:rsid w:val="004648A1"/>
    <w:rsid w:val="00465B59"/>
    <w:rsid w:val="00467444"/>
    <w:rsid w:val="004717CD"/>
    <w:rsid w:val="004744F2"/>
    <w:rsid w:val="00474E1A"/>
    <w:rsid w:val="00475A1A"/>
    <w:rsid w:val="00475A94"/>
    <w:rsid w:val="00475B59"/>
    <w:rsid w:val="00477DB7"/>
    <w:rsid w:val="00480693"/>
    <w:rsid w:val="004839D4"/>
    <w:rsid w:val="00483C50"/>
    <w:rsid w:val="00483D02"/>
    <w:rsid w:val="00486162"/>
    <w:rsid w:val="004903F9"/>
    <w:rsid w:val="0049113B"/>
    <w:rsid w:val="00493575"/>
    <w:rsid w:val="004938DA"/>
    <w:rsid w:val="004957CF"/>
    <w:rsid w:val="0049588F"/>
    <w:rsid w:val="004A3007"/>
    <w:rsid w:val="004A4A78"/>
    <w:rsid w:val="004A5716"/>
    <w:rsid w:val="004A68BF"/>
    <w:rsid w:val="004A7B11"/>
    <w:rsid w:val="004B0F75"/>
    <w:rsid w:val="004B208E"/>
    <w:rsid w:val="004B237B"/>
    <w:rsid w:val="004B583A"/>
    <w:rsid w:val="004B649F"/>
    <w:rsid w:val="004C0040"/>
    <w:rsid w:val="004C1218"/>
    <w:rsid w:val="004C61A5"/>
    <w:rsid w:val="004C6277"/>
    <w:rsid w:val="004D0F20"/>
    <w:rsid w:val="004D1ACB"/>
    <w:rsid w:val="004E0915"/>
    <w:rsid w:val="004E3DAB"/>
    <w:rsid w:val="004E76AE"/>
    <w:rsid w:val="004F0CFB"/>
    <w:rsid w:val="004F1300"/>
    <w:rsid w:val="004F1BE3"/>
    <w:rsid w:val="004F2F22"/>
    <w:rsid w:val="004F3778"/>
    <w:rsid w:val="004F670F"/>
    <w:rsid w:val="005002DC"/>
    <w:rsid w:val="005021EF"/>
    <w:rsid w:val="00502236"/>
    <w:rsid w:val="00502630"/>
    <w:rsid w:val="00510D1D"/>
    <w:rsid w:val="005110D6"/>
    <w:rsid w:val="005140D3"/>
    <w:rsid w:val="00514659"/>
    <w:rsid w:val="0051571C"/>
    <w:rsid w:val="00516AC3"/>
    <w:rsid w:val="00521847"/>
    <w:rsid w:val="0052340B"/>
    <w:rsid w:val="0052566E"/>
    <w:rsid w:val="005323CA"/>
    <w:rsid w:val="00532D47"/>
    <w:rsid w:val="0054181A"/>
    <w:rsid w:val="00544655"/>
    <w:rsid w:val="00544AAB"/>
    <w:rsid w:val="005463BB"/>
    <w:rsid w:val="00555C27"/>
    <w:rsid w:val="0055602C"/>
    <w:rsid w:val="00557C5E"/>
    <w:rsid w:val="00557E1F"/>
    <w:rsid w:val="00562ECD"/>
    <w:rsid w:val="005677CA"/>
    <w:rsid w:val="0057036B"/>
    <w:rsid w:val="00570D4A"/>
    <w:rsid w:val="00570F44"/>
    <w:rsid w:val="005710CA"/>
    <w:rsid w:val="00571857"/>
    <w:rsid w:val="00572954"/>
    <w:rsid w:val="005736D7"/>
    <w:rsid w:val="005774FE"/>
    <w:rsid w:val="005819FC"/>
    <w:rsid w:val="00585C7C"/>
    <w:rsid w:val="00585CB6"/>
    <w:rsid w:val="00587A0C"/>
    <w:rsid w:val="00590128"/>
    <w:rsid w:val="00590F40"/>
    <w:rsid w:val="005910A9"/>
    <w:rsid w:val="00591F7E"/>
    <w:rsid w:val="00592CC1"/>
    <w:rsid w:val="00594663"/>
    <w:rsid w:val="00595582"/>
    <w:rsid w:val="005958FF"/>
    <w:rsid w:val="005967CD"/>
    <w:rsid w:val="00596C0A"/>
    <w:rsid w:val="00597045"/>
    <w:rsid w:val="005A4DDC"/>
    <w:rsid w:val="005A5478"/>
    <w:rsid w:val="005A5EE7"/>
    <w:rsid w:val="005A7E38"/>
    <w:rsid w:val="005A7E89"/>
    <w:rsid w:val="005B365B"/>
    <w:rsid w:val="005B4055"/>
    <w:rsid w:val="005B48FE"/>
    <w:rsid w:val="005B54E8"/>
    <w:rsid w:val="005B5AAE"/>
    <w:rsid w:val="005B5B7D"/>
    <w:rsid w:val="005B6C95"/>
    <w:rsid w:val="005B7DDC"/>
    <w:rsid w:val="005C559C"/>
    <w:rsid w:val="005C703F"/>
    <w:rsid w:val="005C7987"/>
    <w:rsid w:val="005D24A3"/>
    <w:rsid w:val="005D5B16"/>
    <w:rsid w:val="005D640C"/>
    <w:rsid w:val="005D653F"/>
    <w:rsid w:val="005D6B6E"/>
    <w:rsid w:val="005D7030"/>
    <w:rsid w:val="005E0A99"/>
    <w:rsid w:val="005E343A"/>
    <w:rsid w:val="005E497D"/>
    <w:rsid w:val="005E79D3"/>
    <w:rsid w:val="005F1365"/>
    <w:rsid w:val="005F3249"/>
    <w:rsid w:val="005F33F7"/>
    <w:rsid w:val="005F4C22"/>
    <w:rsid w:val="005F769A"/>
    <w:rsid w:val="005F7FFE"/>
    <w:rsid w:val="00603B6E"/>
    <w:rsid w:val="006041A0"/>
    <w:rsid w:val="00606EF1"/>
    <w:rsid w:val="0061344C"/>
    <w:rsid w:val="00613888"/>
    <w:rsid w:val="00614275"/>
    <w:rsid w:val="00614D92"/>
    <w:rsid w:val="00615EB9"/>
    <w:rsid w:val="00615F30"/>
    <w:rsid w:val="0061668C"/>
    <w:rsid w:val="00617396"/>
    <w:rsid w:val="00621485"/>
    <w:rsid w:val="006232B7"/>
    <w:rsid w:val="006242C1"/>
    <w:rsid w:val="00625D44"/>
    <w:rsid w:val="006261AF"/>
    <w:rsid w:val="006268E3"/>
    <w:rsid w:val="006269D1"/>
    <w:rsid w:val="00630BBF"/>
    <w:rsid w:val="006314E2"/>
    <w:rsid w:val="00632413"/>
    <w:rsid w:val="00632529"/>
    <w:rsid w:val="006327B5"/>
    <w:rsid w:val="00632ED0"/>
    <w:rsid w:val="006332AC"/>
    <w:rsid w:val="00633C68"/>
    <w:rsid w:val="00636441"/>
    <w:rsid w:val="00636D0E"/>
    <w:rsid w:val="00637E78"/>
    <w:rsid w:val="00640217"/>
    <w:rsid w:val="00642D7A"/>
    <w:rsid w:val="0064326D"/>
    <w:rsid w:val="00644C8A"/>
    <w:rsid w:val="006523F1"/>
    <w:rsid w:val="00652CBC"/>
    <w:rsid w:val="006538AC"/>
    <w:rsid w:val="00654E6D"/>
    <w:rsid w:val="00655411"/>
    <w:rsid w:val="0065785E"/>
    <w:rsid w:val="0066472F"/>
    <w:rsid w:val="00664BDC"/>
    <w:rsid w:val="00670218"/>
    <w:rsid w:val="00673012"/>
    <w:rsid w:val="006757EB"/>
    <w:rsid w:val="006811CC"/>
    <w:rsid w:val="00682192"/>
    <w:rsid w:val="00682732"/>
    <w:rsid w:val="0068285F"/>
    <w:rsid w:val="006836D8"/>
    <w:rsid w:val="00684927"/>
    <w:rsid w:val="00693E42"/>
    <w:rsid w:val="00696DA9"/>
    <w:rsid w:val="0069705A"/>
    <w:rsid w:val="006976FD"/>
    <w:rsid w:val="006A0004"/>
    <w:rsid w:val="006A028D"/>
    <w:rsid w:val="006A0D54"/>
    <w:rsid w:val="006A0FFF"/>
    <w:rsid w:val="006A2EAF"/>
    <w:rsid w:val="006A4BF3"/>
    <w:rsid w:val="006A7156"/>
    <w:rsid w:val="006B08D6"/>
    <w:rsid w:val="006B1858"/>
    <w:rsid w:val="006B2DD6"/>
    <w:rsid w:val="006B6128"/>
    <w:rsid w:val="006B7708"/>
    <w:rsid w:val="006C3B5D"/>
    <w:rsid w:val="006C3BAE"/>
    <w:rsid w:val="006C4032"/>
    <w:rsid w:val="006C68FA"/>
    <w:rsid w:val="006D09FE"/>
    <w:rsid w:val="006D1C47"/>
    <w:rsid w:val="006E16CF"/>
    <w:rsid w:val="006E2F30"/>
    <w:rsid w:val="006E3AB4"/>
    <w:rsid w:val="006E3D8C"/>
    <w:rsid w:val="006E51B7"/>
    <w:rsid w:val="006E65B1"/>
    <w:rsid w:val="006E699F"/>
    <w:rsid w:val="006E74A0"/>
    <w:rsid w:val="006F458E"/>
    <w:rsid w:val="006F5C01"/>
    <w:rsid w:val="0070126D"/>
    <w:rsid w:val="007047BC"/>
    <w:rsid w:val="007073DE"/>
    <w:rsid w:val="0071056F"/>
    <w:rsid w:val="007120A5"/>
    <w:rsid w:val="007123A6"/>
    <w:rsid w:val="00713E27"/>
    <w:rsid w:val="007167F1"/>
    <w:rsid w:val="007170B6"/>
    <w:rsid w:val="0071763A"/>
    <w:rsid w:val="007209E5"/>
    <w:rsid w:val="00721D26"/>
    <w:rsid w:val="00722286"/>
    <w:rsid w:val="00725444"/>
    <w:rsid w:val="00726B28"/>
    <w:rsid w:val="00727385"/>
    <w:rsid w:val="00730023"/>
    <w:rsid w:val="007333B2"/>
    <w:rsid w:val="00735444"/>
    <w:rsid w:val="0073587B"/>
    <w:rsid w:val="0074313D"/>
    <w:rsid w:val="00745FC4"/>
    <w:rsid w:val="0074656C"/>
    <w:rsid w:val="007518F9"/>
    <w:rsid w:val="00754061"/>
    <w:rsid w:val="00756C58"/>
    <w:rsid w:val="0076016D"/>
    <w:rsid w:val="007601A1"/>
    <w:rsid w:val="00760B83"/>
    <w:rsid w:val="00760E6C"/>
    <w:rsid w:val="0076558E"/>
    <w:rsid w:val="00766DA7"/>
    <w:rsid w:val="007705A2"/>
    <w:rsid w:val="00771702"/>
    <w:rsid w:val="00771A8E"/>
    <w:rsid w:val="00771DC0"/>
    <w:rsid w:val="00771EBB"/>
    <w:rsid w:val="0077526C"/>
    <w:rsid w:val="0077581D"/>
    <w:rsid w:val="0077642A"/>
    <w:rsid w:val="00777232"/>
    <w:rsid w:val="0078139F"/>
    <w:rsid w:val="00783C94"/>
    <w:rsid w:val="00783D5E"/>
    <w:rsid w:val="007871AD"/>
    <w:rsid w:val="007906BF"/>
    <w:rsid w:val="00790AD2"/>
    <w:rsid w:val="007921E5"/>
    <w:rsid w:val="007A113A"/>
    <w:rsid w:val="007A30EF"/>
    <w:rsid w:val="007A45C0"/>
    <w:rsid w:val="007A7C78"/>
    <w:rsid w:val="007A7D31"/>
    <w:rsid w:val="007B164C"/>
    <w:rsid w:val="007B4003"/>
    <w:rsid w:val="007B4697"/>
    <w:rsid w:val="007C1C59"/>
    <w:rsid w:val="007C266E"/>
    <w:rsid w:val="007C36D9"/>
    <w:rsid w:val="007C44DD"/>
    <w:rsid w:val="007C48B8"/>
    <w:rsid w:val="007C5971"/>
    <w:rsid w:val="007C6336"/>
    <w:rsid w:val="007D0176"/>
    <w:rsid w:val="007D0BF0"/>
    <w:rsid w:val="007D182C"/>
    <w:rsid w:val="007D4785"/>
    <w:rsid w:val="007E0A0D"/>
    <w:rsid w:val="007E51FA"/>
    <w:rsid w:val="007E6266"/>
    <w:rsid w:val="007F119B"/>
    <w:rsid w:val="007F249C"/>
    <w:rsid w:val="007F4CEA"/>
    <w:rsid w:val="007F59A6"/>
    <w:rsid w:val="007F79F7"/>
    <w:rsid w:val="007F7B7B"/>
    <w:rsid w:val="00800F7E"/>
    <w:rsid w:val="00802724"/>
    <w:rsid w:val="0080284D"/>
    <w:rsid w:val="00802C68"/>
    <w:rsid w:val="00803C24"/>
    <w:rsid w:val="00805B29"/>
    <w:rsid w:val="00814D35"/>
    <w:rsid w:val="00815663"/>
    <w:rsid w:val="00815CDA"/>
    <w:rsid w:val="008168DD"/>
    <w:rsid w:val="008169B2"/>
    <w:rsid w:val="00816B17"/>
    <w:rsid w:val="00816C7C"/>
    <w:rsid w:val="00821000"/>
    <w:rsid w:val="00824A53"/>
    <w:rsid w:val="00824F0F"/>
    <w:rsid w:val="00827A1B"/>
    <w:rsid w:val="00831564"/>
    <w:rsid w:val="00835060"/>
    <w:rsid w:val="00837939"/>
    <w:rsid w:val="008401BD"/>
    <w:rsid w:val="00840681"/>
    <w:rsid w:val="00841A17"/>
    <w:rsid w:val="008431A8"/>
    <w:rsid w:val="00843349"/>
    <w:rsid w:val="0084663C"/>
    <w:rsid w:val="00847F4D"/>
    <w:rsid w:val="008510AD"/>
    <w:rsid w:val="00855A02"/>
    <w:rsid w:val="00857E8E"/>
    <w:rsid w:val="00862C38"/>
    <w:rsid w:val="008633B8"/>
    <w:rsid w:val="00863793"/>
    <w:rsid w:val="00864BC8"/>
    <w:rsid w:val="008656C4"/>
    <w:rsid w:val="00866B88"/>
    <w:rsid w:val="00866DCD"/>
    <w:rsid w:val="00867D50"/>
    <w:rsid w:val="00872A81"/>
    <w:rsid w:val="00872A8A"/>
    <w:rsid w:val="0087386A"/>
    <w:rsid w:val="00873CBE"/>
    <w:rsid w:val="00874C39"/>
    <w:rsid w:val="00875868"/>
    <w:rsid w:val="00876047"/>
    <w:rsid w:val="008762A4"/>
    <w:rsid w:val="008763AD"/>
    <w:rsid w:val="0087642B"/>
    <w:rsid w:val="00880329"/>
    <w:rsid w:val="00882506"/>
    <w:rsid w:val="00882D15"/>
    <w:rsid w:val="00883AFF"/>
    <w:rsid w:val="00887DDA"/>
    <w:rsid w:val="00891608"/>
    <w:rsid w:val="00892FD5"/>
    <w:rsid w:val="00895F5B"/>
    <w:rsid w:val="00896AAB"/>
    <w:rsid w:val="008A5782"/>
    <w:rsid w:val="008A7B5C"/>
    <w:rsid w:val="008A7DAF"/>
    <w:rsid w:val="008B050A"/>
    <w:rsid w:val="008B1F75"/>
    <w:rsid w:val="008B23E4"/>
    <w:rsid w:val="008B47D2"/>
    <w:rsid w:val="008B6423"/>
    <w:rsid w:val="008B664E"/>
    <w:rsid w:val="008B667F"/>
    <w:rsid w:val="008C1777"/>
    <w:rsid w:val="008C2BCC"/>
    <w:rsid w:val="008C4644"/>
    <w:rsid w:val="008C723C"/>
    <w:rsid w:val="008D3B0E"/>
    <w:rsid w:val="008D4520"/>
    <w:rsid w:val="008D48F7"/>
    <w:rsid w:val="008D4C05"/>
    <w:rsid w:val="008E0892"/>
    <w:rsid w:val="008E331A"/>
    <w:rsid w:val="008E4CF7"/>
    <w:rsid w:val="008E7562"/>
    <w:rsid w:val="008E7719"/>
    <w:rsid w:val="008F0F6D"/>
    <w:rsid w:val="008F15B5"/>
    <w:rsid w:val="008F1E4C"/>
    <w:rsid w:val="008F270A"/>
    <w:rsid w:val="008F4CFB"/>
    <w:rsid w:val="008F5D10"/>
    <w:rsid w:val="008F6E26"/>
    <w:rsid w:val="008F6F48"/>
    <w:rsid w:val="008F750D"/>
    <w:rsid w:val="00900650"/>
    <w:rsid w:val="009006D3"/>
    <w:rsid w:val="00900F4C"/>
    <w:rsid w:val="009012D2"/>
    <w:rsid w:val="00905130"/>
    <w:rsid w:val="00906341"/>
    <w:rsid w:val="00907CDF"/>
    <w:rsid w:val="00907E4A"/>
    <w:rsid w:val="0091092C"/>
    <w:rsid w:val="009133B5"/>
    <w:rsid w:val="00913D8B"/>
    <w:rsid w:val="009146AC"/>
    <w:rsid w:val="00915B93"/>
    <w:rsid w:val="00915E62"/>
    <w:rsid w:val="00916C88"/>
    <w:rsid w:val="00922683"/>
    <w:rsid w:val="009256F9"/>
    <w:rsid w:val="00925FC3"/>
    <w:rsid w:val="009278AF"/>
    <w:rsid w:val="00932E20"/>
    <w:rsid w:val="00932FCD"/>
    <w:rsid w:val="00941B07"/>
    <w:rsid w:val="00943156"/>
    <w:rsid w:val="00944A28"/>
    <w:rsid w:val="00944FFF"/>
    <w:rsid w:val="009468A0"/>
    <w:rsid w:val="00950343"/>
    <w:rsid w:val="009507C9"/>
    <w:rsid w:val="00952660"/>
    <w:rsid w:val="00953D01"/>
    <w:rsid w:val="00957C58"/>
    <w:rsid w:val="00961931"/>
    <w:rsid w:val="00962C3F"/>
    <w:rsid w:val="00962D6F"/>
    <w:rsid w:val="00962E03"/>
    <w:rsid w:val="0096378B"/>
    <w:rsid w:val="00963F9E"/>
    <w:rsid w:val="009651D3"/>
    <w:rsid w:val="00965E4E"/>
    <w:rsid w:val="0096742D"/>
    <w:rsid w:val="00970024"/>
    <w:rsid w:val="009702AC"/>
    <w:rsid w:val="009725A1"/>
    <w:rsid w:val="00973C89"/>
    <w:rsid w:val="00974B5D"/>
    <w:rsid w:val="009767C8"/>
    <w:rsid w:val="009812B0"/>
    <w:rsid w:val="00981C17"/>
    <w:rsid w:val="0098472E"/>
    <w:rsid w:val="00985A67"/>
    <w:rsid w:val="00985F4F"/>
    <w:rsid w:val="00986680"/>
    <w:rsid w:val="00986F68"/>
    <w:rsid w:val="00987620"/>
    <w:rsid w:val="00990E4B"/>
    <w:rsid w:val="009928FD"/>
    <w:rsid w:val="00994DF3"/>
    <w:rsid w:val="009957DB"/>
    <w:rsid w:val="009A5EB1"/>
    <w:rsid w:val="009A683A"/>
    <w:rsid w:val="009A6FCC"/>
    <w:rsid w:val="009A79C4"/>
    <w:rsid w:val="009B0537"/>
    <w:rsid w:val="009B2E62"/>
    <w:rsid w:val="009B5400"/>
    <w:rsid w:val="009B565E"/>
    <w:rsid w:val="009B7183"/>
    <w:rsid w:val="009B7A47"/>
    <w:rsid w:val="009B7FE3"/>
    <w:rsid w:val="009C4E5A"/>
    <w:rsid w:val="009C550C"/>
    <w:rsid w:val="009C620B"/>
    <w:rsid w:val="009C6FC6"/>
    <w:rsid w:val="009D3024"/>
    <w:rsid w:val="009D3563"/>
    <w:rsid w:val="009D4883"/>
    <w:rsid w:val="009D4E4C"/>
    <w:rsid w:val="009D66A8"/>
    <w:rsid w:val="009D7294"/>
    <w:rsid w:val="009E0903"/>
    <w:rsid w:val="009E229C"/>
    <w:rsid w:val="009E61FD"/>
    <w:rsid w:val="009E65DB"/>
    <w:rsid w:val="009E7E09"/>
    <w:rsid w:val="009F0DBD"/>
    <w:rsid w:val="009F1DF3"/>
    <w:rsid w:val="009F3661"/>
    <w:rsid w:val="009F496E"/>
    <w:rsid w:val="009F5BDA"/>
    <w:rsid w:val="009F605F"/>
    <w:rsid w:val="009F643B"/>
    <w:rsid w:val="009F6570"/>
    <w:rsid w:val="009F663E"/>
    <w:rsid w:val="00A001FA"/>
    <w:rsid w:val="00A01A49"/>
    <w:rsid w:val="00A02915"/>
    <w:rsid w:val="00A03192"/>
    <w:rsid w:val="00A04CBF"/>
    <w:rsid w:val="00A06C83"/>
    <w:rsid w:val="00A06F5E"/>
    <w:rsid w:val="00A0729C"/>
    <w:rsid w:val="00A119FD"/>
    <w:rsid w:val="00A13102"/>
    <w:rsid w:val="00A148ED"/>
    <w:rsid w:val="00A162F1"/>
    <w:rsid w:val="00A204D5"/>
    <w:rsid w:val="00A21132"/>
    <w:rsid w:val="00A21748"/>
    <w:rsid w:val="00A24292"/>
    <w:rsid w:val="00A24CA2"/>
    <w:rsid w:val="00A24FB5"/>
    <w:rsid w:val="00A24FEC"/>
    <w:rsid w:val="00A25A28"/>
    <w:rsid w:val="00A25CA4"/>
    <w:rsid w:val="00A263CC"/>
    <w:rsid w:val="00A27A43"/>
    <w:rsid w:val="00A3280B"/>
    <w:rsid w:val="00A3324A"/>
    <w:rsid w:val="00A34E2B"/>
    <w:rsid w:val="00A35050"/>
    <w:rsid w:val="00A354C7"/>
    <w:rsid w:val="00A36D6E"/>
    <w:rsid w:val="00A4072D"/>
    <w:rsid w:val="00A416B9"/>
    <w:rsid w:val="00A42BE2"/>
    <w:rsid w:val="00A4463F"/>
    <w:rsid w:val="00A456EF"/>
    <w:rsid w:val="00A45B6D"/>
    <w:rsid w:val="00A4612E"/>
    <w:rsid w:val="00A5045F"/>
    <w:rsid w:val="00A52D4C"/>
    <w:rsid w:val="00A540B8"/>
    <w:rsid w:val="00A62935"/>
    <w:rsid w:val="00A63FD4"/>
    <w:rsid w:val="00A65517"/>
    <w:rsid w:val="00A66599"/>
    <w:rsid w:val="00A710BA"/>
    <w:rsid w:val="00A71983"/>
    <w:rsid w:val="00A71E88"/>
    <w:rsid w:val="00A72618"/>
    <w:rsid w:val="00A806EC"/>
    <w:rsid w:val="00A82397"/>
    <w:rsid w:val="00A82809"/>
    <w:rsid w:val="00A84043"/>
    <w:rsid w:val="00A8451F"/>
    <w:rsid w:val="00A856B1"/>
    <w:rsid w:val="00A93AB0"/>
    <w:rsid w:val="00A9520B"/>
    <w:rsid w:val="00A952AC"/>
    <w:rsid w:val="00AA0058"/>
    <w:rsid w:val="00AA00E4"/>
    <w:rsid w:val="00AA3792"/>
    <w:rsid w:val="00AB36BA"/>
    <w:rsid w:val="00AB42AB"/>
    <w:rsid w:val="00AB4340"/>
    <w:rsid w:val="00AB6489"/>
    <w:rsid w:val="00AB6699"/>
    <w:rsid w:val="00AC3AE3"/>
    <w:rsid w:val="00AD0A9B"/>
    <w:rsid w:val="00AD2942"/>
    <w:rsid w:val="00AD4668"/>
    <w:rsid w:val="00AD4A29"/>
    <w:rsid w:val="00AD6627"/>
    <w:rsid w:val="00AE149A"/>
    <w:rsid w:val="00AE6ADC"/>
    <w:rsid w:val="00AE6C2E"/>
    <w:rsid w:val="00AF0119"/>
    <w:rsid w:val="00AF651E"/>
    <w:rsid w:val="00AF6C62"/>
    <w:rsid w:val="00AF72C6"/>
    <w:rsid w:val="00B01274"/>
    <w:rsid w:val="00B01D8C"/>
    <w:rsid w:val="00B02308"/>
    <w:rsid w:val="00B024A8"/>
    <w:rsid w:val="00B02BA5"/>
    <w:rsid w:val="00B045B2"/>
    <w:rsid w:val="00B10AB0"/>
    <w:rsid w:val="00B12343"/>
    <w:rsid w:val="00B12B3F"/>
    <w:rsid w:val="00B16061"/>
    <w:rsid w:val="00B17F65"/>
    <w:rsid w:val="00B21CDE"/>
    <w:rsid w:val="00B23A89"/>
    <w:rsid w:val="00B23BF1"/>
    <w:rsid w:val="00B25EDF"/>
    <w:rsid w:val="00B260E7"/>
    <w:rsid w:val="00B26980"/>
    <w:rsid w:val="00B26A75"/>
    <w:rsid w:val="00B30683"/>
    <w:rsid w:val="00B30C40"/>
    <w:rsid w:val="00B33522"/>
    <w:rsid w:val="00B3654D"/>
    <w:rsid w:val="00B36A13"/>
    <w:rsid w:val="00B36EA4"/>
    <w:rsid w:val="00B37EC6"/>
    <w:rsid w:val="00B401A5"/>
    <w:rsid w:val="00B4146D"/>
    <w:rsid w:val="00B42C69"/>
    <w:rsid w:val="00B42D7D"/>
    <w:rsid w:val="00B4336C"/>
    <w:rsid w:val="00B43C8E"/>
    <w:rsid w:val="00B44915"/>
    <w:rsid w:val="00B451BE"/>
    <w:rsid w:val="00B51DF1"/>
    <w:rsid w:val="00B52F93"/>
    <w:rsid w:val="00B53AF3"/>
    <w:rsid w:val="00B54195"/>
    <w:rsid w:val="00B547C5"/>
    <w:rsid w:val="00B57B5D"/>
    <w:rsid w:val="00B57D30"/>
    <w:rsid w:val="00B57E30"/>
    <w:rsid w:val="00B64A18"/>
    <w:rsid w:val="00B64ADF"/>
    <w:rsid w:val="00B64D19"/>
    <w:rsid w:val="00B66F02"/>
    <w:rsid w:val="00B6749F"/>
    <w:rsid w:val="00B675EF"/>
    <w:rsid w:val="00B67A50"/>
    <w:rsid w:val="00B70ACB"/>
    <w:rsid w:val="00B719BB"/>
    <w:rsid w:val="00B73500"/>
    <w:rsid w:val="00B7388B"/>
    <w:rsid w:val="00B74D1A"/>
    <w:rsid w:val="00B807AA"/>
    <w:rsid w:val="00B87200"/>
    <w:rsid w:val="00B90633"/>
    <w:rsid w:val="00B90FA7"/>
    <w:rsid w:val="00B92843"/>
    <w:rsid w:val="00B93100"/>
    <w:rsid w:val="00B9533E"/>
    <w:rsid w:val="00B9732E"/>
    <w:rsid w:val="00B97FEF"/>
    <w:rsid w:val="00BA20D3"/>
    <w:rsid w:val="00BA4155"/>
    <w:rsid w:val="00BA5AA0"/>
    <w:rsid w:val="00BB2D98"/>
    <w:rsid w:val="00BB3A13"/>
    <w:rsid w:val="00BB61D9"/>
    <w:rsid w:val="00BB6633"/>
    <w:rsid w:val="00BC08E8"/>
    <w:rsid w:val="00BC4D42"/>
    <w:rsid w:val="00BC7609"/>
    <w:rsid w:val="00BD63A7"/>
    <w:rsid w:val="00BD6973"/>
    <w:rsid w:val="00BD6B40"/>
    <w:rsid w:val="00BD78CE"/>
    <w:rsid w:val="00BE08C7"/>
    <w:rsid w:val="00BE29AE"/>
    <w:rsid w:val="00BE644E"/>
    <w:rsid w:val="00BE7197"/>
    <w:rsid w:val="00BE754B"/>
    <w:rsid w:val="00BE7558"/>
    <w:rsid w:val="00BF03B4"/>
    <w:rsid w:val="00BF0DD6"/>
    <w:rsid w:val="00BF1951"/>
    <w:rsid w:val="00BF1A13"/>
    <w:rsid w:val="00BF1BC9"/>
    <w:rsid w:val="00BF2D2B"/>
    <w:rsid w:val="00BF31B1"/>
    <w:rsid w:val="00BF54BC"/>
    <w:rsid w:val="00C03CDA"/>
    <w:rsid w:val="00C07E20"/>
    <w:rsid w:val="00C10827"/>
    <w:rsid w:val="00C11C37"/>
    <w:rsid w:val="00C12882"/>
    <w:rsid w:val="00C12BF3"/>
    <w:rsid w:val="00C153E2"/>
    <w:rsid w:val="00C15E6D"/>
    <w:rsid w:val="00C22227"/>
    <w:rsid w:val="00C2303D"/>
    <w:rsid w:val="00C24BE7"/>
    <w:rsid w:val="00C25CCC"/>
    <w:rsid w:val="00C2736A"/>
    <w:rsid w:val="00C275F3"/>
    <w:rsid w:val="00C30AF1"/>
    <w:rsid w:val="00C32D32"/>
    <w:rsid w:val="00C32ECC"/>
    <w:rsid w:val="00C33B61"/>
    <w:rsid w:val="00C50DA2"/>
    <w:rsid w:val="00C5166C"/>
    <w:rsid w:val="00C5264F"/>
    <w:rsid w:val="00C54A5B"/>
    <w:rsid w:val="00C60E33"/>
    <w:rsid w:val="00C64752"/>
    <w:rsid w:val="00C6598A"/>
    <w:rsid w:val="00C65CB1"/>
    <w:rsid w:val="00C66297"/>
    <w:rsid w:val="00C664E3"/>
    <w:rsid w:val="00C66E1D"/>
    <w:rsid w:val="00C74487"/>
    <w:rsid w:val="00C74CA2"/>
    <w:rsid w:val="00C76BB9"/>
    <w:rsid w:val="00C773BD"/>
    <w:rsid w:val="00C7751A"/>
    <w:rsid w:val="00C77C43"/>
    <w:rsid w:val="00C8077A"/>
    <w:rsid w:val="00C80907"/>
    <w:rsid w:val="00C80C97"/>
    <w:rsid w:val="00C82039"/>
    <w:rsid w:val="00C835B2"/>
    <w:rsid w:val="00C842B2"/>
    <w:rsid w:val="00C85ADB"/>
    <w:rsid w:val="00C86393"/>
    <w:rsid w:val="00C8639B"/>
    <w:rsid w:val="00C90489"/>
    <w:rsid w:val="00C90A33"/>
    <w:rsid w:val="00C91CA0"/>
    <w:rsid w:val="00C91E4F"/>
    <w:rsid w:val="00C92203"/>
    <w:rsid w:val="00CA0789"/>
    <w:rsid w:val="00CA1144"/>
    <w:rsid w:val="00CA2710"/>
    <w:rsid w:val="00CA2BDB"/>
    <w:rsid w:val="00CA2CBE"/>
    <w:rsid w:val="00CA3E6F"/>
    <w:rsid w:val="00CA4852"/>
    <w:rsid w:val="00CA7142"/>
    <w:rsid w:val="00CB0E4D"/>
    <w:rsid w:val="00CB66F1"/>
    <w:rsid w:val="00CC10D4"/>
    <w:rsid w:val="00CC58E2"/>
    <w:rsid w:val="00CC5FAE"/>
    <w:rsid w:val="00CC61A3"/>
    <w:rsid w:val="00CC781D"/>
    <w:rsid w:val="00CC7F1F"/>
    <w:rsid w:val="00CD093E"/>
    <w:rsid w:val="00CD0A8F"/>
    <w:rsid w:val="00CD3FFF"/>
    <w:rsid w:val="00CD4606"/>
    <w:rsid w:val="00CE00CF"/>
    <w:rsid w:val="00CE073A"/>
    <w:rsid w:val="00CE0C66"/>
    <w:rsid w:val="00CE4E84"/>
    <w:rsid w:val="00CF0B6B"/>
    <w:rsid w:val="00CF5D05"/>
    <w:rsid w:val="00D03C8B"/>
    <w:rsid w:val="00D119EF"/>
    <w:rsid w:val="00D125C3"/>
    <w:rsid w:val="00D12D15"/>
    <w:rsid w:val="00D13780"/>
    <w:rsid w:val="00D13978"/>
    <w:rsid w:val="00D15463"/>
    <w:rsid w:val="00D173C8"/>
    <w:rsid w:val="00D202C7"/>
    <w:rsid w:val="00D20C1B"/>
    <w:rsid w:val="00D20EF8"/>
    <w:rsid w:val="00D216E7"/>
    <w:rsid w:val="00D24806"/>
    <w:rsid w:val="00D2648C"/>
    <w:rsid w:val="00D2649A"/>
    <w:rsid w:val="00D26956"/>
    <w:rsid w:val="00D27979"/>
    <w:rsid w:val="00D31537"/>
    <w:rsid w:val="00D3199C"/>
    <w:rsid w:val="00D32108"/>
    <w:rsid w:val="00D3409D"/>
    <w:rsid w:val="00D374B2"/>
    <w:rsid w:val="00D37DFE"/>
    <w:rsid w:val="00D409F9"/>
    <w:rsid w:val="00D40E4A"/>
    <w:rsid w:val="00D45C1C"/>
    <w:rsid w:val="00D464BC"/>
    <w:rsid w:val="00D46683"/>
    <w:rsid w:val="00D537E7"/>
    <w:rsid w:val="00D547B7"/>
    <w:rsid w:val="00D55AAA"/>
    <w:rsid w:val="00D57FDE"/>
    <w:rsid w:val="00D6158A"/>
    <w:rsid w:val="00D61901"/>
    <w:rsid w:val="00D65196"/>
    <w:rsid w:val="00D67838"/>
    <w:rsid w:val="00D711E8"/>
    <w:rsid w:val="00D77FE6"/>
    <w:rsid w:val="00D82F94"/>
    <w:rsid w:val="00D860CE"/>
    <w:rsid w:val="00D876B1"/>
    <w:rsid w:val="00D93616"/>
    <w:rsid w:val="00D953F9"/>
    <w:rsid w:val="00D9563A"/>
    <w:rsid w:val="00D957BC"/>
    <w:rsid w:val="00D95915"/>
    <w:rsid w:val="00DA0090"/>
    <w:rsid w:val="00DA09DC"/>
    <w:rsid w:val="00DA2481"/>
    <w:rsid w:val="00DA2892"/>
    <w:rsid w:val="00DA3D38"/>
    <w:rsid w:val="00DA4A4B"/>
    <w:rsid w:val="00DA6615"/>
    <w:rsid w:val="00DA7E44"/>
    <w:rsid w:val="00DB417D"/>
    <w:rsid w:val="00DB4F7C"/>
    <w:rsid w:val="00DB7BB7"/>
    <w:rsid w:val="00DC2AEE"/>
    <w:rsid w:val="00DC2C7C"/>
    <w:rsid w:val="00DC3083"/>
    <w:rsid w:val="00DC617B"/>
    <w:rsid w:val="00DC72AB"/>
    <w:rsid w:val="00DD2683"/>
    <w:rsid w:val="00DE117A"/>
    <w:rsid w:val="00DE33E0"/>
    <w:rsid w:val="00DE5A34"/>
    <w:rsid w:val="00DE623A"/>
    <w:rsid w:val="00DE7BE0"/>
    <w:rsid w:val="00DF12F5"/>
    <w:rsid w:val="00DF3B3C"/>
    <w:rsid w:val="00DF3CA4"/>
    <w:rsid w:val="00DF47C1"/>
    <w:rsid w:val="00DF64C9"/>
    <w:rsid w:val="00DF66E8"/>
    <w:rsid w:val="00E009C2"/>
    <w:rsid w:val="00E018BC"/>
    <w:rsid w:val="00E055BD"/>
    <w:rsid w:val="00E10AE2"/>
    <w:rsid w:val="00E11259"/>
    <w:rsid w:val="00E13351"/>
    <w:rsid w:val="00E13A40"/>
    <w:rsid w:val="00E16EFB"/>
    <w:rsid w:val="00E20759"/>
    <w:rsid w:val="00E216C4"/>
    <w:rsid w:val="00E24073"/>
    <w:rsid w:val="00E31C27"/>
    <w:rsid w:val="00E31E06"/>
    <w:rsid w:val="00E3300C"/>
    <w:rsid w:val="00E37185"/>
    <w:rsid w:val="00E37FC4"/>
    <w:rsid w:val="00E40A70"/>
    <w:rsid w:val="00E4206A"/>
    <w:rsid w:val="00E42A5A"/>
    <w:rsid w:val="00E450B6"/>
    <w:rsid w:val="00E45F6D"/>
    <w:rsid w:val="00E5000B"/>
    <w:rsid w:val="00E50F8A"/>
    <w:rsid w:val="00E53075"/>
    <w:rsid w:val="00E573FD"/>
    <w:rsid w:val="00E57CC0"/>
    <w:rsid w:val="00E6023B"/>
    <w:rsid w:val="00E602DD"/>
    <w:rsid w:val="00E64B8B"/>
    <w:rsid w:val="00E679D7"/>
    <w:rsid w:val="00E70323"/>
    <w:rsid w:val="00E71395"/>
    <w:rsid w:val="00E715EF"/>
    <w:rsid w:val="00E72653"/>
    <w:rsid w:val="00E72A24"/>
    <w:rsid w:val="00E72D47"/>
    <w:rsid w:val="00E740D3"/>
    <w:rsid w:val="00E80A4C"/>
    <w:rsid w:val="00E82464"/>
    <w:rsid w:val="00E86061"/>
    <w:rsid w:val="00E87089"/>
    <w:rsid w:val="00E871E1"/>
    <w:rsid w:val="00E87F4C"/>
    <w:rsid w:val="00E912C2"/>
    <w:rsid w:val="00E91E53"/>
    <w:rsid w:val="00E93F2A"/>
    <w:rsid w:val="00E96190"/>
    <w:rsid w:val="00E968A8"/>
    <w:rsid w:val="00E96FE6"/>
    <w:rsid w:val="00EA026F"/>
    <w:rsid w:val="00EA7D7E"/>
    <w:rsid w:val="00EB0FF3"/>
    <w:rsid w:val="00EB2C8F"/>
    <w:rsid w:val="00EB2E10"/>
    <w:rsid w:val="00EB4F68"/>
    <w:rsid w:val="00EC4382"/>
    <w:rsid w:val="00EC4B3C"/>
    <w:rsid w:val="00EC5151"/>
    <w:rsid w:val="00ED206E"/>
    <w:rsid w:val="00ED249A"/>
    <w:rsid w:val="00ED2D94"/>
    <w:rsid w:val="00ED3860"/>
    <w:rsid w:val="00ED41F6"/>
    <w:rsid w:val="00ED4560"/>
    <w:rsid w:val="00ED55DC"/>
    <w:rsid w:val="00ED6942"/>
    <w:rsid w:val="00ED772E"/>
    <w:rsid w:val="00EE0086"/>
    <w:rsid w:val="00EE11CB"/>
    <w:rsid w:val="00EE177B"/>
    <w:rsid w:val="00EE6053"/>
    <w:rsid w:val="00EF130C"/>
    <w:rsid w:val="00EF1EAF"/>
    <w:rsid w:val="00EF76CF"/>
    <w:rsid w:val="00F05ED7"/>
    <w:rsid w:val="00F06224"/>
    <w:rsid w:val="00F06B98"/>
    <w:rsid w:val="00F117AE"/>
    <w:rsid w:val="00F12BD1"/>
    <w:rsid w:val="00F13EB6"/>
    <w:rsid w:val="00F15DA7"/>
    <w:rsid w:val="00F16E3D"/>
    <w:rsid w:val="00F20210"/>
    <w:rsid w:val="00F211FC"/>
    <w:rsid w:val="00F216FB"/>
    <w:rsid w:val="00F22EAC"/>
    <w:rsid w:val="00F230B6"/>
    <w:rsid w:val="00F26123"/>
    <w:rsid w:val="00F26477"/>
    <w:rsid w:val="00F27752"/>
    <w:rsid w:val="00F30283"/>
    <w:rsid w:val="00F303EC"/>
    <w:rsid w:val="00F30D4C"/>
    <w:rsid w:val="00F35AC2"/>
    <w:rsid w:val="00F36301"/>
    <w:rsid w:val="00F36AEA"/>
    <w:rsid w:val="00F37FA0"/>
    <w:rsid w:val="00F41950"/>
    <w:rsid w:val="00F41E5B"/>
    <w:rsid w:val="00F42883"/>
    <w:rsid w:val="00F44B5A"/>
    <w:rsid w:val="00F5144D"/>
    <w:rsid w:val="00F51511"/>
    <w:rsid w:val="00F51B8F"/>
    <w:rsid w:val="00F55279"/>
    <w:rsid w:val="00F61C0D"/>
    <w:rsid w:val="00F65B99"/>
    <w:rsid w:val="00F700E7"/>
    <w:rsid w:val="00F708C6"/>
    <w:rsid w:val="00F71D98"/>
    <w:rsid w:val="00F75A6C"/>
    <w:rsid w:val="00F76599"/>
    <w:rsid w:val="00F766F6"/>
    <w:rsid w:val="00F806FF"/>
    <w:rsid w:val="00F82870"/>
    <w:rsid w:val="00F83F4F"/>
    <w:rsid w:val="00F8463A"/>
    <w:rsid w:val="00F85FAC"/>
    <w:rsid w:val="00F92653"/>
    <w:rsid w:val="00F92A03"/>
    <w:rsid w:val="00F934CD"/>
    <w:rsid w:val="00F956E1"/>
    <w:rsid w:val="00FA02A2"/>
    <w:rsid w:val="00FA038D"/>
    <w:rsid w:val="00FA2619"/>
    <w:rsid w:val="00FA6190"/>
    <w:rsid w:val="00FA7428"/>
    <w:rsid w:val="00FB0535"/>
    <w:rsid w:val="00FB5ABB"/>
    <w:rsid w:val="00FB6FAF"/>
    <w:rsid w:val="00FB7565"/>
    <w:rsid w:val="00FC0CC0"/>
    <w:rsid w:val="00FC4259"/>
    <w:rsid w:val="00FC7187"/>
    <w:rsid w:val="00FC7F86"/>
    <w:rsid w:val="00FD19E1"/>
    <w:rsid w:val="00FD69E0"/>
    <w:rsid w:val="00FE0CE6"/>
    <w:rsid w:val="00FE0FF3"/>
    <w:rsid w:val="00FE4388"/>
    <w:rsid w:val="00FE46FA"/>
    <w:rsid w:val="00FE52A9"/>
    <w:rsid w:val="00FE7EE1"/>
    <w:rsid w:val="00FF0D24"/>
    <w:rsid w:val="00FF13AC"/>
    <w:rsid w:val="00FF4D57"/>
    <w:rsid w:val="00FF72BE"/>
    <w:rsid w:val="00FF7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42"/>
    <w:rPr>
      <w:noProof/>
      <w:sz w:val="24"/>
      <w:szCs w:val="24"/>
      <w:lang w:val="ro-RO"/>
    </w:rPr>
  </w:style>
  <w:style w:type="paragraph" w:styleId="Heading1">
    <w:name w:val="heading 1"/>
    <w:basedOn w:val="Normal"/>
    <w:link w:val="Heading1Char"/>
    <w:uiPriority w:val="99"/>
    <w:qFormat/>
    <w:rsid w:val="00557E1F"/>
    <w:pPr>
      <w:spacing w:before="100" w:beforeAutospacing="1" w:after="100" w:afterAutospacing="1"/>
      <w:outlineLvl w:val="0"/>
    </w:pPr>
    <w:rPr>
      <w:rFonts w:ascii="Georgia" w:hAnsi="Georgia" w:cs="Georgia"/>
      <w:b/>
      <w:bCs/>
      <w:kern w:val="36"/>
      <w:sz w:val="48"/>
      <w:szCs w:val="48"/>
    </w:rPr>
  </w:style>
  <w:style w:type="paragraph" w:styleId="Heading3">
    <w:name w:val="heading 3"/>
    <w:basedOn w:val="Normal"/>
    <w:next w:val="Normal"/>
    <w:link w:val="Heading3Char"/>
    <w:uiPriority w:val="99"/>
    <w:qFormat/>
    <w:rsid w:val="00E912C2"/>
    <w:pPr>
      <w:keepNext/>
      <w:spacing w:before="240" w:after="60"/>
      <w:outlineLvl w:val="2"/>
    </w:pPr>
    <w:rPr>
      <w:rFonts w:ascii="Calibri Light" w:hAnsi="Calibri Light" w:cs="Calibri Light"/>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F1E"/>
    <w:rPr>
      <w:rFonts w:asciiTheme="majorHAnsi" w:eastAsiaTheme="majorEastAsia" w:hAnsiTheme="majorHAnsi" w:cstheme="majorBidi"/>
      <w:b/>
      <w:bCs/>
      <w:noProof/>
      <w:kern w:val="32"/>
      <w:sz w:val="32"/>
      <w:szCs w:val="32"/>
      <w:lang w:val="ro-RO"/>
    </w:rPr>
  </w:style>
  <w:style w:type="character" w:customStyle="1" w:styleId="Heading3Char">
    <w:name w:val="Heading 3 Char"/>
    <w:basedOn w:val="DefaultParagraphFont"/>
    <w:link w:val="Heading3"/>
    <w:uiPriority w:val="99"/>
    <w:semiHidden/>
    <w:locked/>
    <w:rsid w:val="00E912C2"/>
    <w:rPr>
      <w:rFonts w:ascii="Calibri Light" w:hAnsi="Calibri Light" w:cs="Calibri Light"/>
      <w:b/>
      <w:bCs/>
      <w:noProof/>
      <w:sz w:val="26"/>
      <w:szCs w:val="26"/>
      <w:lang w:eastAsia="en-US"/>
    </w:rPr>
  </w:style>
  <w:style w:type="paragraph" w:customStyle="1" w:styleId="DefaultText1">
    <w:name w:val="Default Text:1"/>
    <w:basedOn w:val="Normal"/>
    <w:uiPriority w:val="99"/>
    <w:rsid w:val="007705A2"/>
    <w:pPr>
      <w:overflowPunct w:val="0"/>
      <w:autoSpaceDE w:val="0"/>
      <w:autoSpaceDN w:val="0"/>
      <w:adjustRightInd w:val="0"/>
      <w:textAlignment w:val="baseline"/>
    </w:pPr>
  </w:style>
  <w:style w:type="paragraph" w:styleId="BalloonText">
    <w:name w:val="Balloon Text"/>
    <w:basedOn w:val="Normal"/>
    <w:link w:val="BalloonTextChar"/>
    <w:uiPriority w:val="99"/>
    <w:semiHidden/>
    <w:rsid w:val="002E33D6"/>
    <w:rPr>
      <w:rFonts w:ascii="Tahoma" w:hAnsi="Tahoma" w:cs="Tahoma"/>
      <w:sz w:val="16"/>
      <w:szCs w:val="16"/>
    </w:rPr>
  </w:style>
  <w:style w:type="character" w:customStyle="1" w:styleId="BalloonTextChar">
    <w:name w:val="Balloon Text Char"/>
    <w:basedOn w:val="DefaultParagraphFont"/>
    <w:link w:val="BalloonText"/>
    <w:uiPriority w:val="99"/>
    <w:semiHidden/>
    <w:rsid w:val="00050F1E"/>
    <w:rPr>
      <w:noProof/>
      <w:sz w:val="0"/>
      <w:szCs w:val="0"/>
      <w:lang w:val="ro-RO"/>
    </w:rPr>
  </w:style>
  <w:style w:type="table" w:styleId="TableGrid">
    <w:name w:val="Table Grid"/>
    <w:basedOn w:val="TableNormal"/>
    <w:uiPriority w:val="99"/>
    <w:rsid w:val="00BE75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4927"/>
    <w:pPr>
      <w:tabs>
        <w:tab w:val="center" w:pos="4320"/>
        <w:tab w:val="right" w:pos="8640"/>
      </w:tabs>
    </w:pPr>
    <w:rPr>
      <w:lang w:val="en-US"/>
    </w:rPr>
  </w:style>
  <w:style w:type="character" w:customStyle="1" w:styleId="FooterChar">
    <w:name w:val="Footer Char"/>
    <w:basedOn w:val="DefaultParagraphFont"/>
    <w:link w:val="Footer"/>
    <w:uiPriority w:val="99"/>
    <w:locked/>
    <w:rsid w:val="002C33BB"/>
    <w:rPr>
      <w:noProof/>
      <w:sz w:val="24"/>
      <w:szCs w:val="24"/>
      <w:lang w:eastAsia="en-US"/>
    </w:rPr>
  </w:style>
  <w:style w:type="character" w:styleId="PageNumber">
    <w:name w:val="page number"/>
    <w:basedOn w:val="DefaultParagraphFont"/>
    <w:uiPriority w:val="99"/>
    <w:rsid w:val="00684927"/>
  </w:style>
  <w:style w:type="character" w:customStyle="1" w:styleId="articol1">
    <w:name w:val="articol1"/>
    <w:uiPriority w:val="99"/>
    <w:rsid w:val="00D24806"/>
    <w:rPr>
      <w:b/>
      <w:bCs/>
      <w:color w:val="auto"/>
    </w:rPr>
  </w:style>
  <w:style w:type="paragraph" w:customStyle="1" w:styleId="CaracterCaracter5">
    <w:name w:val="Caracter Caracter5"/>
    <w:basedOn w:val="Normal"/>
    <w:uiPriority w:val="99"/>
    <w:rsid w:val="00C65CB1"/>
    <w:rPr>
      <w:lang w:val="pl-PL" w:eastAsia="pl-PL"/>
    </w:rPr>
  </w:style>
  <w:style w:type="character" w:customStyle="1" w:styleId="rvts7">
    <w:name w:val="rvts7"/>
    <w:uiPriority w:val="99"/>
    <w:rsid w:val="00915B93"/>
  </w:style>
  <w:style w:type="character" w:customStyle="1" w:styleId="rvts6">
    <w:name w:val="rvts6"/>
    <w:uiPriority w:val="99"/>
    <w:rsid w:val="00915B93"/>
  </w:style>
  <w:style w:type="character" w:styleId="CommentReference">
    <w:name w:val="annotation reference"/>
    <w:basedOn w:val="DefaultParagraphFont"/>
    <w:uiPriority w:val="99"/>
    <w:semiHidden/>
    <w:rsid w:val="0076558E"/>
    <w:rPr>
      <w:sz w:val="16"/>
      <w:szCs w:val="16"/>
    </w:rPr>
  </w:style>
  <w:style w:type="paragraph" w:styleId="CommentText">
    <w:name w:val="annotation text"/>
    <w:basedOn w:val="Normal"/>
    <w:link w:val="CommentTextChar"/>
    <w:uiPriority w:val="99"/>
    <w:semiHidden/>
    <w:rsid w:val="0076558E"/>
    <w:rPr>
      <w:sz w:val="20"/>
      <w:szCs w:val="20"/>
    </w:rPr>
  </w:style>
  <w:style w:type="character" w:customStyle="1" w:styleId="CommentTextChar">
    <w:name w:val="Comment Text Char"/>
    <w:basedOn w:val="DefaultParagraphFont"/>
    <w:link w:val="CommentText"/>
    <w:uiPriority w:val="99"/>
    <w:locked/>
    <w:rsid w:val="0076558E"/>
    <w:rPr>
      <w:noProof/>
      <w:lang w:val="ro-RO"/>
    </w:rPr>
  </w:style>
  <w:style w:type="paragraph" w:styleId="CommentSubject">
    <w:name w:val="annotation subject"/>
    <w:basedOn w:val="CommentText"/>
    <w:next w:val="CommentText"/>
    <w:link w:val="CommentSubjectChar"/>
    <w:uiPriority w:val="99"/>
    <w:semiHidden/>
    <w:rsid w:val="0076558E"/>
    <w:rPr>
      <w:b/>
      <w:bCs/>
    </w:rPr>
  </w:style>
  <w:style w:type="character" w:customStyle="1" w:styleId="CommentSubjectChar">
    <w:name w:val="Comment Subject Char"/>
    <w:basedOn w:val="CommentTextChar"/>
    <w:link w:val="CommentSubject"/>
    <w:uiPriority w:val="99"/>
    <w:locked/>
    <w:rsid w:val="0076558E"/>
    <w:rPr>
      <w:b/>
      <w:bCs/>
    </w:rPr>
  </w:style>
  <w:style w:type="paragraph" w:styleId="Header">
    <w:name w:val="header"/>
    <w:basedOn w:val="Normal"/>
    <w:link w:val="HeaderChar"/>
    <w:uiPriority w:val="99"/>
    <w:rsid w:val="002C33BB"/>
    <w:pPr>
      <w:tabs>
        <w:tab w:val="center" w:pos="4536"/>
        <w:tab w:val="right" w:pos="9072"/>
      </w:tabs>
    </w:pPr>
    <w:rPr>
      <w:lang w:val="en-US"/>
    </w:rPr>
  </w:style>
  <w:style w:type="character" w:customStyle="1" w:styleId="HeaderChar">
    <w:name w:val="Header Char"/>
    <w:basedOn w:val="DefaultParagraphFont"/>
    <w:link w:val="Header"/>
    <w:uiPriority w:val="99"/>
    <w:locked/>
    <w:rsid w:val="002C33BB"/>
    <w:rPr>
      <w:noProof/>
      <w:sz w:val="24"/>
      <w:szCs w:val="24"/>
      <w:lang w:eastAsia="en-US"/>
    </w:rPr>
  </w:style>
  <w:style w:type="paragraph" w:styleId="ListParagraph">
    <w:name w:val="List Paragraph"/>
    <w:basedOn w:val="Normal"/>
    <w:uiPriority w:val="99"/>
    <w:qFormat/>
    <w:rsid w:val="00E91E53"/>
    <w:pPr>
      <w:ind w:left="720"/>
    </w:pPr>
  </w:style>
</w:styles>
</file>

<file path=word/webSettings.xml><?xml version="1.0" encoding="utf-8"?>
<w:webSettings xmlns:r="http://schemas.openxmlformats.org/officeDocument/2006/relationships" xmlns:w="http://schemas.openxmlformats.org/wordprocessingml/2006/main">
  <w:divs>
    <w:div w:id="643897525">
      <w:marLeft w:val="0"/>
      <w:marRight w:val="0"/>
      <w:marTop w:val="0"/>
      <w:marBottom w:val="0"/>
      <w:divBdr>
        <w:top w:val="none" w:sz="0" w:space="0" w:color="auto"/>
        <w:left w:val="none" w:sz="0" w:space="0" w:color="auto"/>
        <w:bottom w:val="none" w:sz="0" w:space="0" w:color="auto"/>
        <w:right w:val="none" w:sz="0" w:space="0" w:color="auto"/>
      </w:divBdr>
    </w:div>
    <w:div w:id="643897526">
      <w:marLeft w:val="0"/>
      <w:marRight w:val="0"/>
      <w:marTop w:val="0"/>
      <w:marBottom w:val="0"/>
      <w:divBdr>
        <w:top w:val="none" w:sz="0" w:space="0" w:color="auto"/>
        <w:left w:val="none" w:sz="0" w:space="0" w:color="auto"/>
        <w:bottom w:val="none" w:sz="0" w:space="0" w:color="auto"/>
        <w:right w:val="none" w:sz="0" w:space="0" w:color="auto"/>
      </w:divBdr>
    </w:div>
    <w:div w:id="643897527">
      <w:marLeft w:val="0"/>
      <w:marRight w:val="0"/>
      <w:marTop w:val="0"/>
      <w:marBottom w:val="0"/>
      <w:divBdr>
        <w:top w:val="none" w:sz="0" w:space="0" w:color="auto"/>
        <w:left w:val="none" w:sz="0" w:space="0" w:color="auto"/>
        <w:bottom w:val="none" w:sz="0" w:space="0" w:color="auto"/>
        <w:right w:val="none" w:sz="0" w:space="0" w:color="auto"/>
      </w:divBdr>
      <w:divsChild>
        <w:div w:id="643897532">
          <w:marLeft w:val="0"/>
          <w:marRight w:val="300"/>
          <w:marTop w:val="0"/>
          <w:marBottom w:val="300"/>
          <w:divBdr>
            <w:top w:val="none" w:sz="0" w:space="0" w:color="auto"/>
            <w:left w:val="none" w:sz="0" w:space="0" w:color="auto"/>
            <w:bottom w:val="none" w:sz="0" w:space="0" w:color="auto"/>
            <w:right w:val="none" w:sz="0" w:space="0" w:color="auto"/>
          </w:divBdr>
          <w:divsChild>
            <w:div w:id="6438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7528">
      <w:marLeft w:val="0"/>
      <w:marRight w:val="0"/>
      <w:marTop w:val="0"/>
      <w:marBottom w:val="0"/>
      <w:divBdr>
        <w:top w:val="none" w:sz="0" w:space="0" w:color="auto"/>
        <w:left w:val="none" w:sz="0" w:space="0" w:color="auto"/>
        <w:bottom w:val="none" w:sz="0" w:space="0" w:color="auto"/>
        <w:right w:val="none" w:sz="0" w:space="0" w:color="auto"/>
      </w:divBdr>
    </w:div>
    <w:div w:id="643897529">
      <w:marLeft w:val="0"/>
      <w:marRight w:val="0"/>
      <w:marTop w:val="0"/>
      <w:marBottom w:val="0"/>
      <w:divBdr>
        <w:top w:val="none" w:sz="0" w:space="0" w:color="auto"/>
        <w:left w:val="none" w:sz="0" w:space="0" w:color="auto"/>
        <w:bottom w:val="none" w:sz="0" w:space="0" w:color="auto"/>
        <w:right w:val="none" w:sz="0" w:space="0" w:color="auto"/>
      </w:divBdr>
    </w:div>
    <w:div w:id="643897534">
      <w:marLeft w:val="0"/>
      <w:marRight w:val="0"/>
      <w:marTop w:val="0"/>
      <w:marBottom w:val="0"/>
      <w:divBdr>
        <w:top w:val="none" w:sz="0" w:space="0" w:color="auto"/>
        <w:left w:val="none" w:sz="0" w:space="0" w:color="auto"/>
        <w:bottom w:val="none" w:sz="0" w:space="0" w:color="auto"/>
        <w:right w:val="none" w:sz="0" w:space="0" w:color="auto"/>
      </w:divBdr>
    </w:div>
    <w:div w:id="643897535">
      <w:marLeft w:val="0"/>
      <w:marRight w:val="0"/>
      <w:marTop w:val="0"/>
      <w:marBottom w:val="0"/>
      <w:divBdr>
        <w:top w:val="none" w:sz="0" w:space="0" w:color="auto"/>
        <w:left w:val="none" w:sz="0" w:space="0" w:color="auto"/>
        <w:bottom w:val="none" w:sz="0" w:space="0" w:color="auto"/>
        <w:right w:val="none" w:sz="0" w:space="0" w:color="auto"/>
      </w:divBdr>
    </w:div>
    <w:div w:id="643897536">
      <w:marLeft w:val="0"/>
      <w:marRight w:val="0"/>
      <w:marTop w:val="0"/>
      <w:marBottom w:val="0"/>
      <w:divBdr>
        <w:top w:val="none" w:sz="0" w:space="0" w:color="auto"/>
        <w:left w:val="none" w:sz="0" w:space="0" w:color="auto"/>
        <w:bottom w:val="none" w:sz="0" w:space="0" w:color="auto"/>
        <w:right w:val="none" w:sz="0" w:space="0" w:color="auto"/>
      </w:divBdr>
    </w:div>
    <w:div w:id="643897537">
      <w:marLeft w:val="0"/>
      <w:marRight w:val="0"/>
      <w:marTop w:val="0"/>
      <w:marBottom w:val="0"/>
      <w:divBdr>
        <w:top w:val="none" w:sz="0" w:space="0" w:color="auto"/>
        <w:left w:val="none" w:sz="0" w:space="0" w:color="auto"/>
        <w:bottom w:val="none" w:sz="0" w:space="0" w:color="auto"/>
        <w:right w:val="none" w:sz="0" w:space="0" w:color="auto"/>
      </w:divBdr>
    </w:div>
    <w:div w:id="643897539">
      <w:marLeft w:val="0"/>
      <w:marRight w:val="0"/>
      <w:marTop w:val="0"/>
      <w:marBottom w:val="0"/>
      <w:divBdr>
        <w:top w:val="none" w:sz="0" w:space="0" w:color="auto"/>
        <w:left w:val="none" w:sz="0" w:space="0" w:color="auto"/>
        <w:bottom w:val="none" w:sz="0" w:space="0" w:color="auto"/>
        <w:right w:val="none" w:sz="0" w:space="0" w:color="auto"/>
      </w:divBdr>
    </w:div>
    <w:div w:id="643897541">
      <w:marLeft w:val="0"/>
      <w:marRight w:val="0"/>
      <w:marTop w:val="0"/>
      <w:marBottom w:val="0"/>
      <w:divBdr>
        <w:top w:val="none" w:sz="0" w:space="0" w:color="auto"/>
        <w:left w:val="none" w:sz="0" w:space="0" w:color="auto"/>
        <w:bottom w:val="none" w:sz="0" w:space="0" w:color="auto"/>
        <w:right w:val="none" w:sz="0" w:space="0" w:color="auto"/>
      </w:divBdr>
    </w:div>
    <w:div w:id="643897546">
      <w:marLeft w:val="0"/>
      <w:marRight w:val="0"/>
      <w:marTop w:val="0"/>
      <w:marBottom w:val="0"/>
      <w:divBdr>
        <w:top w:val="none" w:sz="0" w:space="0" w:color="auto"/>
        <w:left w:val="none" w:sz="0" w:space="0" w:color="auto"/>
        <w:bottom w:val="none" w:sz="0" w:space="0" w:color="auto"/>
        <w:right w:val="none" w:sz="0" w:space="0" w:color="auto"/>
      </w:divBdr>
      <w:divsChild>
        <w:div w:id="643897524">
          <w:marLeft w:val="0"/>
          <w:marRight w:val="0"/>
          <w:marTop w:val="0"/>
          <w:marBottom w:val="0"/>
          <w:divBdr>
            <w:top w:val="none" w:sz="0" w:space="0" w:color="auto"/>
            <w:left w:val="none" w:sz="0" w:space="0" w:color="auto"/>
            <w:bottom w:val="none" w:sz="0" w:space="0" w:color="auto"/>
            <w:right w:val="none" w:sz="0" w:space="0" w:color="auto"/>
          </w:divBdr>
        </w:div>
        <w:div w:id="643897530">
          <w:marLeft w:val="0"/>
          <w:marRight w:val="0"/>
          <w:marTop w:val="0"/>
          <w:marBottom w:val="0"/>
          <w:divBdr>
            <w:top w:val="none" w:sz="0" w:space="0" w:color="auto"/>
            <w:left w:val="none" w:sz="0" w:space="0" w:color="auto"/>
            <w:bottom w:val="none" w:sz="0" w:space="0" w:color="auto"/>
            <w:right w:val="none" w:sz="0" w:space="0" w:color="auto"/>
          </w:divBdr>
        </w:div>
        <w:div w:id="643897531">
          <w:marLeft w:val="0"/>
          <w:marRight w:val="0"/>
          <w:marTop w:val="0"/>
          <w:marBottom w:val="0"/>
          <w:divBdr>
            <w:top w:val="none" w:sz="0" w:space="0" w:color="auto"/>
            <w:left w:val="none" w:sz="0" w:space="0" w:color="auto"/>
            <w:bottom w:val="none" w:sz="0" w:space="0" w:color="auto"/>
            <w:right w:val="none" w:sz="0" w:space="0" w:color="auto"/>
          </w:divBdr>
        </w:div>
        <w:div w:id="643897533">
          <w:marLeft w:val="0"/>
          <w:marRight w:val="0"/>
          <w:marTop w:val="0"/>
          <w:marBottom w:val="0"/>
          <w:divBdr>
            <w:top w:val="none" w:sz="0" w:space="0" w:color="auto"/>
            <w:left w:val="none" w:sz="0" w:space="0" w:color="auto"/>
            <w:bottom w:val="none" w:sz="0" w:space="0" w:color="auto"/>
            <w:right w:val="none" w:sz="0" w:space="0" w:color="auto"/>
          </w:divBdr>
        </w:div>
        <w:div w:id="643897543">
          <w:marLeft w:val="0"/>
          <w:marRight w:val="0"/>
          <w:marTop w:val="0"/>
          <w:marBottom w:val="0"/>
          <w:divBdr>
            <w:top w:val="none" w:sz="0" w:space="0" w:color="auto"/>
            <w:left w:val="none" w:sz="0" w:space="0" w:color="auto"/>
            <w:bottom w:val="none" w:sz="0" w:space="0" w:color="auto"/>
            <w:right w:val="none" w:sz="0" w:space="0" w:color="auto"/>
          </w:divBdr>
        </w:div>
        <w:div w:id="643897544">
          <w:marLeft w:val="0"/>
          <w:marRight w:val="0"/>
          <w:marTop w:val="0"/>
          <w:marBottom w:val="0"/>
          <w:divBdr>
            <w:top w:val="none" w:sz="0" w:space="0" w:color="auto"/>
            <w:left w:val="none" w:sz="0" w:space="0" w:color="auto"/>
            <w:bottom w:val="none" w:sz="0" w:space="0" w:color="auto"/>
            <w:right w:val="none" w:sz="0" w:space="0" w:color="auto"/>
          </w:divBdr>
        </w:div>
      </w:divsChild>
    </w:div>
    <w:div w:id="643897548">
      <w:marLeft w:val="0"/>
      <w:marRight w:val="0"/>
      <w:marTop w:val="0"/>
      <w:marBottom w:val="0"/>
      <w:divBdr>
        <w:top w:val="none" w:sz="0" w:space="0" w:color="auto"/>
        <w:left w:val="none" w:sz="0" w:space="0" w:color="auto"/>
        <w:bottom w:val="none" w:sz="0" w:space="0" w:color="auto"/>
        <w:right w:val="none" w:sz="0" w:space="0" w:color="auto"/>
      </w:divBdr>
    </w:div>
    <w:div w:id="643897549">
      <w:marLeft w:val="0"/>
      <w:marRight w:val="0"/>
      <w:marTop w:val="0"/>
      <w:marBottom w:val="0"/>
      <w:divBdr>
        <w:top w:val="none" w:sz="0" w:space="0" w:color="auto"/>
        <w:left w:val="none" w:sz="0" w:space="0" w:color="auto"/>
        <w:bottom w:val="none" w:sz="0" w:space="0" w:color="auto"/>
        <w:right w:val="none" w:sz="0" w:space="0" w:color="auto"/>
      </w:divBdr>
      <w:divsChild>
        <w:div w:id="643897523">
          <w:marLeft w:val="0"/>
          <w:marRight w:val="0"/>
          <w:marTop w:val="0"/>
          <w:marBottom w:val="0"/>
          <w:divBdr>
            <w:top w:val="none" w:sz="0" w:space="0" w:color="auto"/>
            <w:left w:val="none" w:sz="0" w:space="0" w:color="auto"/>
            <w:bottom w:val="none" w:sz="0" w:space="0" w:color="auto"/>
            <w:right w:val="none" w:sz="0" w:space="0" w:color="auto"/>
          </w:divBdr>
          <w:divsChild>
            <w:div w:id="643897542">
              <w:marLeft w:val="0"/>
              <w:marRight w:val="0"/>
              <w:marTop w:val="0"/>
              <w:marBottom w:val="0"/>
              <w:divBdr>
                <w:top w:val="none" w:sz="0" w:space="0" w:color="auto"/>
                <w:left w:val="none" w:sz="0" w:space="0" w:color="auto"/>
                <w:bottom w:val="none" w:sz="0" w:space="0" w:color="auto"/>
                <w:right w:val="none" w:sz="0" w:space="0" w:color="auto"/>
              </w:divBdr>
              <w:divsChild>
                <w:div w:id="643897538">
                  <w:marLeft w:val="0"/>
                  <w:marRight w:val="0"/>
                  <w:marTop w:val="120"/>
                  <w:marBottom w:val="120"/>
                  <w:divBdr>
                    <w:top w:val="none" w:sz="0" w:space="0" w:color="auto"/>
                    <w:left w:val="none" w:sz="0" w:space="0" w:color="auto"/>
                    <w:bottom w:val="none" w:sz="0" w:space="0" w:color="auto"/>
                    <w:right w:val="none" w:sz="0" w:space="0" w:color="auto"/>
                  </w:divBdr>
                  <w:divsChild>
                    <w:div w:id="643897540">
                      <w:marLeft w:val="0"/>
                      <w:marRight w:val="0"/>
                      <w:marTop w:val="0"/>
                      <w:marBottom w:val="0"/>
                      <w:divBdr>
                        <w:top w:val="none" w:sz="0" w:space="0" w:color="auto"/>
                        <w:left w:val="none" w:sz="0" w:space="0" w:color="auto"/>
                        <w:bottom w:val="none" w:sz="0" w:space="0" w:color="auto"/>
                        <w:right w:val="none" w:sz="0" w:space="0" w:color="auto"/>
                      </w:divBdr>
                      <w:divsChild>
                        <w:div w:id="6438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2835</Words>
  <Characters>16162</Characters>
  <Application>Microsoft Office Outlook</Application>
  <DocSecurity>0</DocSecurity>
  <Lines>0</Lines>
  <Paragraphs>0</Paragraphs>
  <ScaleCrop>false</ScaleCrop>
  <Company>ANRMAP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subject/>
  <dc:creator>Eduard</dc:creator>
  <cp:keywords/>
  <dc:description/>
  <cp:lastModifiedBy>49555071</cp:lastModifiedBy>
  <cp:revision>3</cp:revision>
  <cp:lastPrinted>2017-07-17T13:51:00Z</cp:lastPrinted>
  <dcterms:created xsi:type="dcterms:W3CDTF">2017-07-18T11:00:00Z</dcterms:created>
  <dcterms:modified xsi:type="dcterms:W3CDTF">2017-07-27T12:11:00Z</dcterms:modified>
</cp:coreProperties>
</file>