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21" w:rsidRDefault="004A2521" w:rsidP="000F3BDD">
      <w:pPr>
        <w:spacing w:line="360" w:lineRule="auto"/>
        <w:jc w:val="center"/>
        <w:rPr>
          <w:b/>
          <w:lang w:val="ro-RO"/>
        </w:rPr>
      </w:pPr>
      <w:r w:rsidRPr="00B659CD">
        <w:rPr>
          <w:b/>
          <w:lang w:val="ro-RO"/>
        </w:rPr>
        <w:t>N O T Ă   D E   F U N D A M E N T A R E</w:t>
      </w:r>
    </w:p>
    <w:p w:rsidR="004A2521" w:rsidRPr="00B659CD" w:rsidRDefault="004A2521" w:rsidP="000F3BDD">
      <w:pPr>
        <w:spacing w:line="360" w:lineRule="auto"/>
        <w:jc w:val="center"/>
        <w:rPr>
          <w:b/>
          <w:lang w:val="ro-RO"/>
        </w:rPr>
      </w:pPr>
    </w:p>
    <w:tbl>
      <w:tblPr>
        <w:tblW w:w="101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25"/>
        <w:gridCol w:w="1185"/>
        <w:gridCol w:w="90"/>
        <w:gridCol w:w="900"/>
        <w:gridCol w:w="810"/>
        <w:gridCol w:w="900"/>
        <w:gridCol w:w="810"/>
        <w:gridCol w:w="810"/>
        <w:gridCol w:w="1406"/>
      </w:tblGrid>
      <w:tr w:rsidR="004A2521" w:rsidRPr="00B659CD" w:rsidTr="00B06364">
        <w:trPr>
          <w:trHeight w:val="278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1 Titlul proiectului de act normativ</w:t>
            </w:r>
          </w:p>
        </w:tc>
      </w:tr>
      <w:tr w:rsidR="004A2521" w:rsidRPr="00B659CD" w:rsidTr="00B06364">
        <w:trPr>
          <w:trHeight w:val="530"/>
        </w:trPr>
        <w:tc>
          <w:tcPr>
            <w:tcW w:w="10136" w:type="dxa"/>
            <w:gridSpan w:val="10"/>
          </w:tcPr>
          <w:p w:rsidR="004A2521" w:rsidRPr="00B659CD" w:rsidRDefault="004A2521" w:rsidP="005D0278">
            <w:pPr>
              <w:pStyle w:val="BodyText2"/>
              <w:tabs>
                <w:tab w:val="left" w:pos="5670"/>
              </w:tabs>
              <w:spacing w:line="30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B659C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Hotărâre a Guvernului privind aprobarea acordării ajutorului de stat pentru facilitarea închiderii minelor de cărbune necompetitive din cadrul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Societăţ</w:t>
            </w:r>
            <w:r w:rsidRPr="00B659CD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ii Naţionale de Închideri Mine Valea Jiului -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S.A. Petroşani, pentru anul 2018. </w:t>
            </w:r>
          </w:p>
        </w:tc>
      </w:tr>
      <w:tr w:rsidR="004A2521" w:rsidRPr="00B659CD" w:rsidTr="00B06364">
        <w:trPr>
          <w:trHeight w:val="260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2-a Motivul emiterii actului normativ</w:t>
            </w:r>
          </w:p>
        </w:tc>
      </w:tr>
      <w:tr w:rsidR="004A2521" w:rsidRPr="00B659CD" w:rsidTr="00B06364">
        <w:trPr>
          <w:trHeight w:val="350"/>
        </w:trPr>
        <w:tc>
          <w:tcPr>
            <w:tcW w:w="2700" w:type="dxa"/>
          </w:tcPr>
          <w:p w:rsidR="004A2521" w:rsidRPr="00B659CD" w:rsidRDefault="004A2521" w:rsidP="00B06364">
            <w:pPr>
              <w:tabs>
                <w:tab w:val="left" w:pos="252"/>
              </w:tabs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1. Descrierea situaţiei actuale</w:t>
            </w:r>
          </w:p>
        </w:tc>
        <w:tc>
          <w:tcPr>
            <w:tcW w:w="7436" w:type="dxa"/>
            <w:gridSpan w:val="9"/>
          </w:tcPr>
          <w:p w:rsidR="004A2521" w:rsidRPr="00B659CD" w:rsidRDefault="004A2521" w:rsidP="00B06364">
            <w:pPr>
              <w:pStyle w:val="Default"/>
              <w:spacing w:line="300" w:lineRule="atLeast"/>
              <w:jc w:val="both"/>
              <w:rPr>
                <w:lang w:val="ro-RO"/>
              </w:rPr>
            </w:pPr>
            <w:r w:rsidRPr="003F0B75">
              <w:rPr>
                <w:color w:val="auto"/>
                <w:lang w:val="ro-RO"/>
              </w:rPr>
              <w:t xml:space="preserve">În conformitate cu </w:t>
            </w:r>
            <w:r w:rsidRPr="00B659CD">
              <w:rPr>
                <w:lang w:val="ro-RO"/>
              </w:rPr>
              <w:t>prevederile Deciziei CE nr.</w:t>
            </w:r>
            <w:r>
              <w:rPr>
                <w:lang w:val="ro-RO"/>
              </w:rPr>
              <w:t xml:space="preserve"> </w:t>
            </w:r>
            <w:r w:rsidRPr="00B659CD">
              <w:rPr>
                <w:lang w:val="ro-RO"/>
              </w:rPr>
              <w:t>787/2010 privind ajutorul de stat pentru facilitarea închiderii minelor de cărbune necompetitive, în urma analizei situaţiei tehnico-economice a minelor din cadrul Companiei Naţionale a Huilei S.A. Petroşani, denumit</w:t>
            </w:r>
            <w:r>
              <w:rPr>
                <w:lang w:val="ro-RO"/>
              </w:rPr>
              <w:t>ă în continuare, CNH S.A. Petroş</w:t>
            </w:r>
            <w:r w:rsidRPr="00B659CD">
              <w:rPr>
                <w:lang w:val="ro-RO"/>
              </w:rPr>
              <w:t>ani s-a stabilit că Exploatările miniere Petrila, Paroşeni şi Uricani vor fi închise în perioada 2011-201</w:t>
            </w:r>
            <w:r>
              <w:rPr>
                <w:lang w:val="ro-RO"/>
              </w:rPr>
              <w:t>8</w:t>
            </w:r>
            <w:r w:rsidRPr="00B659CD">
              <w:rPr>
                <w:lang w:val="ro-RO"/>
              </w:rPr>
              <w:t xml:space="preserve">. Pentru a accesa ajutorul de stat acordat conform legislaţiei europene, C.N.H. SA Petroşani a întocmit Planul de închidere şi documentaţia de finanţare a costurilor de închidere pentru cele trei exploatări miniere. Aceste documentaţii au făcut obiectul notificării transmise la Comisia Uniunii Europene. </w:t>
            </w:r>
          </w:p>
          <w:p w:rsidR="004A2521" w:rsidRPr="00643A83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La data de 22 februarie 2012 p</w:t>
            </w:r>
            <w:r>
              <w:rPr>
                <w:lang w:val="ro-RO"/>
              </w:rPr>
              <w:t>rin Decizia nr. C (2012) 1.020/final</w:t>
            </w:r>
            <w:r w:rsidRPr="00B659CD">
              <w:rPr>
                <w:lang w:val="ro-RO"/>
              </w:rPr>
              <w:t xml:space="preserve">, Comisia Europeană a autorizat România să acorde din fondurile publice un ajutor de 1.169 milioane RON, aproximativ 270 de milioane de euro, în vederea închiderii minelor de cărbune necompetitive din trei </w:t>
            </w:r>
            <w:r>
              <w:rPr>
                <w:lang w:val="ro-RO"/>
              </w:rPr>
              <w:t>unităţi deţinute de CNH S.A. Petroş</w:t>
            </w:r>
            <w:r w:rsidRPr="00B659CD">
              <w:rPr>
                <w:lang w:val="ro-RO"/>
              </w:rPr>
              <w:t>ani, pe perioada 2011-201</w:t>
            </w:r>
            <w:r>
              <w:rPr>
                <w:lang w:val="ro-RO"/>
              </w:rPr>
              <w:t>8</w:t>
            </w:r>
            <w:r w:rsidRPr="00B659CD">
              <w:rPr>
                <w:lang w:val="ro-RO"/>
              </w:rPr>
              <w:t>. Având în vedere obligaţiile asumate de Guvernul României cu instituţiile internaţionale, privind reducerea arieratelor CNH SA Petroşani, începând cu 01.11.2012 s-a înfiinţat Societatea Naţională Închideri Mine Valea Jiului S.A. Petroşani. Societatea nou constituită va gestiona ajutorul de stat acordat închiderii minelor de cărbune necompetiti</w:t>
            </w:r>
            <w:r>
              <w:rPr>
                <w:lang w:val="ro-RO"/>
              </w:rPr>
              <w:t>ve conform prevederilor Ordonanţei de urgenţ</w:t>
            </w:r>
            <w:r w:rsidRPr="00B659CD">
              <w:rPr>
                <w:lang w:val="ro-RO"/>
              </w:rPr>
              <w:t>ă a Guvernului nr.</w:t>
            </w:r>
            <w:r>
              <w:rPr>
                <w:lang w:val="ro-RO"/>
              </w:rPr>
              <w:t xml:space="preserve"> </w:t>
            </w:r>
            <w:r w:rsidRPr="00B659CD">
              <w:rPr>
                <w:lang w:val="ro-RO"/>
              </w:rPr>
              <w:t>11</w:t>
            </w:r>
            <w:r>
              <w:rPr>
                <w:lang w:val="ro-RO"/>
              </w:rPr>
              <w:t>9/2011, aprobată cu modificări ş</w:t>
            </w:r>
            <w:r w:rsidRPr="00B659CD">
              <w:rPr>
                <w:lang w:val="ro-RO"/>
              </w:rPr>
              <w:t xml:space="preserve">i completări prin Legea nr.143/2012. </w:t>
            </w:r>
            <w:r>
              <w:rPr>
                <w:lang w:val="ro-RO"/>
              </w:rPr>
              <w:t>În s</w:t>
            </w:r>
            <w:r w:rsidRPr="00B659CD">
              <w:rPr>
                <w:lang w:val="ro-RO"/>
              </w:rPr>
              <w:t>crisoarea Comisiei Europene din 14.12.2012 privind autorizarea SA 33033, precizează că începând c</w:t>
            </w:r>
            <w:r>
              <w:rPr>
                <w:lang w:val="ro-RO"/>
              </w:rPr>
              <w:t>u 1 noiembrie 2012 noua societate (respectiv, Societatea Naţ</w:t>
            </w:r>
            <w:r w:rsidRPr="00B659CD">
              <w:rPr>
                <w:lang w:val="ro-RO"/>
              </w:rPr>
              <w:t>ională de Închideri Mine Valea Jiului</w:t>
            </w:r>
            <w:r>
              <w:rPr>
                <w:lang w:val="ro-RO"/>
              </w:rPr>
              <w:t xml:space="preserve"> - S.A. Petroş</w:t>
            </w:r>
            <w:r w:rsidRPr="00B659CD">
              <w:rPr>
                <w:lang w:val="ro-RO"/>
              </w:rPr>
              <w:t>ani) este beneficiarul ajutorului de stat pentru închiderea minelor de cărbune necompetitive, care a făcut obiectul Deciziei Comisiei Europene nr.C (2012) 1020</w:t>
            </w:r>
            <w:r>
              <w:rPr>
                <w:lang w:val="ro-RO"/>
              </w:rPr>
              <w:t>/2 din 22 februarie 2012.</w:t>
            </w:r>
          </w:p>
          <w:p w:rsidR="004A2521" w:rsidRPr="003F0B75" w:rsidRDefault="004A2521" w:rsidP="009F1E9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3F0B75">
              <w:rPr>
                <w:lang w:val="ro-RO"/>
              </w:rPr>
              <w:t>Ajutorul de stat pentru facilitarea închiderii minelor de cărbune necompetitive din cadrul SNIMVJ se aprobă anual prin hotărâri ale Guvernului.</w:t>
            </w:r>
          </w:p>
          <w:p w:rsidR="004A2521" w:rsidRPr="008D09B4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8D09B4">
              <w:rPr>
                <w:lang w:val="ro-RO"/>
              </w:rPr>
              <w:t>Având în vedere prevederile Hotărârii Guvernului nr. 980/2015 privind organi</w:t>
            </w:r>
            <w:r>
              <w:rPr>
                <w:lang w:val="ro-RO"/>
              </w:rPr>
              <w:t>zarea şi funcţ</w:t>
            </w:r>
            <w:r w:rsidRPr="008D09B4">
              <w:rPr>
                <w:lang w:val="ro-RO"/>
              </w:rPr>
              <w:t>ionarea Ministerului Energiei punerea în aplicarea a Deciziei CE nr.787/2010 revine Ministerului Energiei.</w:t>
            </w:r>
          </w:p>
        </w:tc>
      </w:tr>
      <w:tr w:rsidR="004A2521" w:rsidRPr="00B659CD" w:rsidTr="00B06364">
        <w:trPr>
          <w:trHeight w:val="260"/>
        </w:trPr>
        <w:tc>
          <w:tcPr>
            <w:tcW w:w="2700" w:type="dxa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2. Schimbări preconizate</w:t>
            </w:r>
          </w:p>
        </w:tc>
        <w:tc>
          <w:tcPr>
            <w:tcW w:w="7436" w:type="dxa"/>
            <w:gridSpan w:val="9"/>
          </w:tcPr>
          <w:p w:rsidR="004A2521" w:rsidRPr="00F21293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strike/>
                <w:color w:val="00B050"/>
                <w:lang w:val="ro-RO"/>
              </w:rPr>
            </w:pPr>
            <w:r w:rsidRPr="00B659CD">
              <w:rPr>
                <w:bCs/>
                <w:spacing w:val="-2"/>
                <w:lang w:val="ro-RO"/>
              </w:rPr>
              <w:t xml:space="preserve">  </w:t>
            </w:r>
            <w:r w:rsidRPr="00B659CD">
              <w:rPr>
                <w:color w:val="000000"/>
                <w:lang w:val="ro-RO"/>
              </w:rPr>
              <w:t>♦ Prin proiectul de a</w:t>
            </w:r>
            <w:r>
              <w:rPr>
                <w:lang w:val="ro-RO"/>
              </w:rPr>
              <w:t xml:space="preserve">ct normativ se supune </w:t>
            </w:r>
            <w:r w:rsidRPr="00B659CD">
              <w:rPr>
                <w:lang w:val="ro-RO"/>
              </w:rPr>
              <w:t xml:space="preserve">aprobării </w:t>
            </w:r>
            <w:r>
              <w:rPr>
                <w:lang w:val="ro-RO"/>
              </w:rPr>
              <w:t>acordarea ajutorului de stat pentru suportarea cheltuielilor</w:t>
            </w:r>
            <w:r w:rsidRPr="00B659CD">
              <w:rPr>
                <w:lang w:val="ro-RO"/>
              </w:rPr>
              <w:t xml:space="preserve"> necesare închiderii celor trei unităţi miniere neviabile din cadrul Societăţii Naţionale de Închideri Mine Valea Jiului </w:t>
            </w:r>
            <w:r>
              <w:rPr>
                <w:lang w:val="ro-RO"/>
              </w:rPr>
              <w:t>- S.A. Petroş</w:t>
            </w:r>
            <w:r w:rsidRPr="00B659CD">
              <w:rPr>
                <w:lang w:val="ro-RO"/>
              </w:rPr>
              <w:t>ani, pentru anul 201</w:t>
            </w:r>
            <w:r>
              <w:rPr>
                <w:lang w:val="ro-RO"/>
              </w:rPr>
              <w:t>8,</w:t>
            </w:r>
            <w:r w:rsidRPr="00B659CD">
              <w:rPr>
                <w:color w:val="000000"/>
                <w:lang w:val="ro-RO"/>
              </w:rPr>
              <w:t xml:space="preserve"> potrivit Deciziei Comisiei Europene nr. C (2012) 1.020/final</w:t>
            </w:r>
            <w:r>
              <w:rPr>
                <w:color w:val="000000"/>
                <w:lang w:val="ro-RO"/>
              </w:rPr>
              <w:t xml:space="preserve"> şi C(2015)8066 final, </w:t>
            </w:r>
            <w:r w:rsidRPr="00D41D65">
              <w:rPr>
                <w:lang w:val="ro-RO"/>
              </w:rPr>
              <w:t>modificată prin adresa Comisiei Europene nr. COMP/CD/MD/jbl*2016/125983 din 20.12.2016.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4A2521" w:rsidRPr="00D41D65" w:rsidRDefault="004A2521" w:rsidP="005D0278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>♦ Astfel, pentru acoperirea costurilor excepţionale se acordă ajutor de stat în sumă de 68.260 mii lei, în următoarea structură:</w:t>
            </w:r>
          </w:p>
          <w:p w:rsidR="004A2521" w:rsidRPr="00D41D65" w:rsidRDefault="004A2521" w:rsidP="00643A8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>• costuri cu plăţile compensatorii acordate angajaţilor care îşi pierd locul de muncă – 2.790 mii lei</w:t>
            </w:r>
          </w:p>
          <w:p w:rsidR="004A2521" w:rsidRPr="00D41D65" w:rsidRDefault="004A2521" w:rsidP="00643A8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>• costuri cu furnizarea unei cantităţi de cărbune şi acoperirea costului energiei electrice – 12.133 mii lei</w:t>
            </w:r>
          </w:p>
          <w:p w:rsidR="004A2521" w:rsidRPr="00D41D65" w:rsidRDefault="004A2521" w:rsidP="00643A8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 xml:space="preserve">• costuri cu închiderea lucrărilor subterane  şi de legătură cu suprafaţa – 50.600 mii lei </w:t>
            </w:r>
          </w:p>
          <w:p w:rsidR="004A2521" w:rsidRPr="00D41D65" w:rsidRDefault="004A2521" w:rsidP="00643A83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>• costuri legate de lucrările de reabilitare si recultivare suprafaţă – 2.737 mii</w:t>
            </w:r>
          </w:p>
          <w:p w:rsidR="004A2521" w:rsidRPr="00D41D65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 xml:space="preserve">♦ Justificarea cheltuielilor se face în baza decontului justificativ după modelul prevăzut în anexa la proiectul de act normativ. </w:t>
            </w:r>
          </w:p>
          <w:p w:rsidR="004A2521" w:rsidRDefault="004A2521" w:rsidP="00DA654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color w:val="000000"/>
                <w:lang w:val="ro-RO"/>
              </w:rPr>
            </w:pPr>
            <w:r w:rsidRPr="00B659CD">
              <w:rPr>
                <w:color w:val="000000"/>
                <w:lang w:val="ro-RO"/>
              </w:rPr>
              <w:t>♦ Nerespectarea de către Societatea Naţională de Închideri Mine Valea Jiului - S.A. Petroşani a condiţiilor prevăzute prin Decizia Comisi</w:t>
            </w:r>
            <w:r>
              <w:rPr>
                <w:color w:val="000000"/>
                <w:lang w:val="ro-RO"/>
              </w:rPr>
              <w:t>ei Europene nr. C (2012) 1.020/final, Decizia CE C(2015)8066 final</w:t>
            </w:r>
            <w:r w:rsidRPr="001A7341">
              <w:rPr>
                <w:color w:val="000000"/>
                <w:lang w:val="ro-RO"/>
              </w:rPr>
              <w:t>,</w:t>
            </w:r>
            <w:r>
              <w:rPr>
                <w:color w:val="000000"/>
                <w:lang w:val="ro-RO"/>
              </w:rPr>
              <w:t xml:space="preserve"> reactualizată în data de 20.12.2016 de către Comisia Europeană </w:t>
            </w:r>
            <w:r w:rsidRPr="00B659CD">
              <w:rPr>
                <w:color w:val="000000"/>
                <w:lang w:val="ro-RO"/>
              </w:rPr>
              <w:t>şi a oricăror obligaţii asumate în vederea obţinerii ajuto</w:t>
            </w:r>
            <w:r>
              <w:rPr>
                <w:color w:val="000000"/>
                <w:lang w:val="ro-RO"/>
              </w:rPr>
              <w:t>rului de stat pentru facilitarea</w:t>
            </w:r>
            <w:r w:rsidRPr="00B659CD">
              <w:rPr>
                <w:color w:val="000000"/>
                <w:lang w:val="ro-RO"/>
              </w:rPr>
              <w:t xml:space="preserve"> închiderii minelor de cărbune necompetitive determină aplicarea de către Ministerul </w:t>
            </w:r>
            <w:r w:rsidRPr="00B659CD">
              <w:rPr>
                <w:lang w:val="ro-RO"/>
              </w:rPr>
              <w:t xml:space="preserve">Energiei </w:t>
            </w:r>
            <w:r w:rsidRPr="00B659CD">
              <w:rPr>
                <w:color w:val="000000"/>
                <w:lang w:val="ro-RO"/>
              </w:rPr>
              <w:t>a măsurilor necesare în vederea recuperării ajutoarelor de stat, în condiţiile legii.</w:t>
            </w:r>
          </w:p>
          <w:p w:rsidR="004A2521" w:rsidRPr="00E55AF0" w:rsidRDefault="004A2521" w:rsidP="00DA654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color w:val="FF0000"/>
                <w:lang w:val="ro-RO"/>
              </w:rPr>
            </w:pPr>
            <w:r w:rsidRPr="00D41D65">
              <w:rPr>
                <w:lang w:val="ro-RO"/>
              </w:rPr>
              <w:t>♦ Ajutorul de stat în sumă totală de 68.260 mii lei pentru anul 2018, este suportat integral de la bugetul de stat, prin bugetul Ministerului Energiei</w:t>
            </w:r>
            <w:r>
              <w:rPr>
                <w:lang w:val="ro-RO"/>
              </w:rPr>
              <w:t xml:space="preserve"> aprobat pe anul 2018</w:t>
            </w:r>
            <w:r w:rsidRPr="00D41D65">
              <w:rPr>
                <w:lang w:val="ro-RO"/>
              </w:rPr>
              <w:t xml:space="preserve">. </w:t>
            </w:r>
          </w:p>
        </w:tc>
      </w:tr>
      <w:tr w:rsidR="004A2521" w:rsidRPr="00B659CD" w:rsidTr="00B06364">
        <w:trPr>
          <w:trHeight w:val="332"/>
        </w:trPr>
        <w:tc>
          <w:tcPr>
            <w:tcW w:w="2700" w:type="dxa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 xml:space="preserve">3. Alte informaţii </w:t>
            </w:r>
          </w:p>
        </w:tc>
        <w:tc>
          <w:tcPr>
            <w:tcW w:w="7436" w:type="dxa"/>
            <w:gridSpan w:val="9"/>
          </w:tcPr>
          <w:p w:rsidR="004A2521" w:rsidRDefault="004A2521" w:rsidP="001A7341">
            <w:pPr>
              <w:spacing w:line="300" w:lineRule="atLeast"/>
              <w:ind w:left="4"/>
              <w:jc w:val="both"/>
              <w:rPr>
                <w:lang w:val="ro-RO"/>
              </w:rPr>
            </w:pPr>
            <w:r>
              <w:rPr>
                <w:lang w:val="ro-RO"/>
              </w:rPr>
              <w:t>Aprobarea acordării</w:t>
            </w:r>
            <w:r w:rsidRPr="00B659CD">
              <w:rPr>
                <w:lang w:val="ro-RO"/>
              </w:rPr>
              <w:t xml:space="preserve"> ajutorului de stat pentru facilitarea închiderii minelor din cadrul Societăţii Naţionale </w:t>
            </w:r>
            <w:r>
              <w:rPr>
                <w:lang w:val="ro-RO"/>
              </w:rPr>
              <w:t>de Închideri Mine Valea Jiului S.A. Petroş</w:t>
            </w:r>
            <w:r w:rsidRPr="00B659CD">
              <w:rPr>
                <w:lang w:val="ro-RO"/>
              </w:rPr>
              <w:t>ani se face cu încadrarea în creditele bugetare aprobate</w:t>
            </w:r>
            <w:r>
              <w:rPr>
                <w:lang w:val="ro-RO"/>
              </w:rPr>
              <w:t xml:space="preserve"> prin Legea bugetului de stat pentru anul 2018.</w:t>
            </w:r>
          </w:p>
          <w:p w:rsidR="004A2521" w:rsidRPr="00B659CD" w:rsidRDefault="004A2521" w:rsidP="001A7341">
            <w:pPr>
              <w:spacing w:line="300" w:lineRule="atLeast"/>
              <w:ind w:left="4"/>
              <w:jc w:val="both"/>
              <w:rPr>
                <w:lang w:val="ro-RO"/>
              </w:rPr>
            </w:pPr>
            <w:r w:rsidRPr="00E55AF0">
              <w:rPr>
                <w:lang w:val="ro-RO"/>
              </w:rPr>
              <w:t>Societatea Naţională Închideri Mine Valea Jiului- S.A. Petro</w:t>
            </w:r>
            <w:r w:rsidRPr="00E55AF0">
              <w:rPr>
                <w:rFonts w:ascii="Cambria Math" w:hAnsi="Cambria Math" w:cs="Cambria Math"/>
                <w:lang w:val="ro-RO"/>
              </w:rPr>
              <w:t>ș</w:t>
            </w:r>
            <w:r w:rsidRPr="00E55AF0">
              <w:rPr>
                <w:lang w:val="ro-RO"/>
              </w:rPr>
              <w:t xml:space="preserve">ani a prevăzut în Bugetul de venituri </w:t>
            </w:r>
            <w:r w:rsidRPr="00E55AF0">
              <w:rPr>
                <w:rFonts w:ascii="Cambria Math" w:hAnsi="Cambria Math" w:cs="Cambria Math"/>
                <w:lang w:val="ro-RO"/>
              </w:rPr>
              <w:t>ș</w:t>
            </w:r>
            <w:r w:rsidRPr="00E55AF0">
              <w:rPr>
                <w:lang w:val="ro-RO"/>
              </w:rPr>
              <w:t>i cheltuieli pentru anul 2018, suma de 68.260 mii lei cu titlu de subven</w:t>
            </w:r>
            <w:r w:rsidRPr="00E55AF0">
              <w:rPr>
                <w:rFonts w:ascii="Cambria Math" w:hAnsi="Cambria Math" w:cs="Cambria Math"/>
                <w:lang w:val="ro-RO"/>
              </w:rPr>
              <w:t>ț</w:t>
            </w:r>
            <w:r w:rsidRPr="00E55AF0">
              <w:rPr>
                <w:lang w:val="ro-RO"/>
              </w:rPr>
              <w:t>ie în cadrul capitolului „Venituri totale din exploatare”.</w:t>
            </w:r>
          </w:p>
        </w:tc>
      </w:tr>
      <w:tr w:rsidR="004A2521" w:rsidRPr="00B659CD" w:rsidTr="00B06364">
        <w:trPr>
          <w:trHeight w:val="548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3-a</w:t>
            </w:r>
          </w:p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Impactul socio-economic al proiectului de act normativ</w:t>
            </w:r>
          </w:p>
        </w:tc>
      </w:tr>
      <w:tr w:rsidR="004A2521" w:rsidRPr="00B659CD" w:rsidTr="00B06364">
        <w:tc>
          <w:tcPr>
            <w:tcW w:w="3225" w:type="dxa"/>
            <w:gridSpan w:val="2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1. Impactul macroeconomic</w:t>
            </w:r>
          </w:p>
        </w:tc>
        <w:tc>
          <w:tcPr>
            <w:tcW w:w="6911" w:type="dxa"/>
            <w:gridSpan w:val="8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3225" w:type="dxa"/>
            <w:gridSpan w:val="2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1</w:t>
            </w:r>
            <w:r w:rsidRPr="00B659CD">
              <w:rPr>
                <w:rFonts w:ascii="Lucida Sans Unicode" w:hAnsi="Lucida Sans Unicode" w:cs="Lucida Sans Unicode"/>
                <w:lang w:val="ro-RO"/>
              </w:rPr>
              <w:t>ˡ</w:t>
            </w:r>
            <w:r w:rsidRPr="00B659CD">
              <w:rPr>
                <w:lang w:val="ro-RO"/>
              </w:rPr>
              <w:t>. Impactul a</w:t>
            </w:r>
            <w:r>
              <w:rPr>
                <w:lang w:val="ro-RO"/>
              </w:rPr>
              <w:t xml:space="preserve">supra mediului concurenţial şi </w:t>
            </w:r>
            <w:r w:rsidRPr="00B659CD">
              <w:rPr>
                <w:lang w:val="ro-RO"/>
              </w:rPr>
              <w:t>domeniului ajutoarelor de stat</w:t>
            </w:r>
          </w:p>
        </w:tc>
        <w:tc>
          <w:tcPr>
            <w:tcW w:w="6911" w:type="dxa"/>
            <w:gridSpan w:val="8"/>
          </w:tcPr>
          <w:p w:rsidR="004A2521" w:rsidRPr="00502F22" w:rsidRDefault="004A2521" w:rsidP="00502F22">
            <w:pPr>
              <w:jc w:val="both"/>
              <w:rPr>
                <w:color w:val="00B050"/>
              </w:rPr>
            </w:pPr>
            <w:r w:rsidRPr="00D41D65">
              <w:rPr>
                <w:lang w:val="ro-RO"/>
              </w:rPr>
              <w:t xml:space="preserve">S-au îndeplinit procedurile </w:t>
            </w:r>
            <w:r>
              <w:rPr>
                <w:lang w:val="ro-RO"/>
              </w:rPr>
              <w:t>prevăzute de art. 7 din Ordonanţa de urgenţ</w:t>
            </w:r>
            <w:r w:rsidRPr="00D41D65">
              <w:rPr>
                <w:lang w:val="ro-RO"/>
              </w:rPr>
              <w:t>ă a Guvernului nr.77/2014 privind procedurile naţionale în domeniul ajutorului de stat, precum şi pentru modificarea şi completarea</w:t>
            </w:r>
            <w:r w:rsidRPr="00D41D65">
              <w:t> </w:t>
            </w:r>
            <w:bookmarkStart w:id="0" w:name="REFsp23rtd4"/>
            <w:bookmarkEnd w:id="0"/>
            <w:r w:rsidRPr="00D41D65">
              <w:t>Legii concurenţe</w:t>
            </w:r>
            <w:r>
              <w:t>i nr. 21/1996, cu modificările ş</w:t>
            </w:r>
            <w:r w:rsidRPr="00D41D65">
              <w:t>i completările ulterioare.</w:t>
            </w:r>
          </w:p>
        </w:tc>
      </w:tr>
      <w:tr w:rsidR="004A2521" w:rsidRPr="00B659CD" w:rsidTr="00B06364">
        <w:tc>
          <w:tcPr>
            <w:tcW w:w="3225" w:type="dxa"/>
            <w:gridSpan w:val="2"/>
          </w:tcPr>
          <w:p w:rsidR="004A2521" w:rsidRPr="00B659CD" w:rsidRDefault="004A2521" w:rsidP="00B06364">
            <w:pPr>
              <w:tabs>
                <w:tab w:val="left" w:pos="3132"/>
              </w:tabs>
              <w:spacing w:line="300" w:lineRule="atLeast"/>
              <w:ind w:left="-108" w:right="-123"/>
              <w:rPr>
                <w:spacing w:val="-12"/>
                <w:lang w:val="ro-RO"/>
              </w:rPr>
            </w:pPr>
            <w:r w:rsidRPr="00B659CD">
              <w:rPr>
                <w:spacing w:val="-12"/>
                <w:lang w:val="ro-RO"/>
              </w:rPr>
              <w:t>2. Impactul asupra mediului de afaceri</w:t>
            </w:r>
          </w:p>
        </w:tc>
        <w:tc>
          <w:tcPr>
            <w:tcW w:w="6911" w:type="dxa"/>
            <w:gridSpan w:val="8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rPr>
          <w:trHeight w:val="242"/>
        </w:trPr>
        <w:tc>
          <w:tcPr>
            <w:tcW w:w="3225" w:type="dxa"/>
            <w:gridSpan w:val="2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3. Impactul social</w:t>
            </w:r>
          </w:p>
        </w:tc>
        <w:tc>
          <w:tcPr>
            <w:tcW w:w="6911" w:type="dxa"/>
            <w:gridSpan w:val="8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rPr>
          <w:trHeight w:val="323"/>
        </w:trPr>
        <w:tc>
          <w:tcPr>
            <w:tcW w:w="3225" w:type="dxa"/>
            <w:gridSpan w:val="2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 xml:space="preserve">4. Impactul asupra mediului </w:t>
            </w:r>
          </w:p>
        </w:tc>
        <w:tc>
          <w:tcPr>
            <w:tcW w:w="6911" w:type="dxa"/>
            <w:gridSpan w:val="8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rPr>
          <w:trHeight w:val="233"/>
        </w:trPr>
        <w:tc>
          <w:tcPr>
            <w:tcW w:w="3225" w:type="dxa"/>
            <w:gridSpan w:val="2"/>
          </w:tcPr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  <w:r>
              <w:rPr>
                <w:lang w:val="ro-RO"/>
              </w:rPr>
              <w:t>5. Alte informaţ</w:t>
            </w:r>
            <w:r w:rsidRPr="00B659CD">
              <w:rPr>
                <w:lang w:val="ro-RO"/>
              </w:rPr>
              <w:t>ii</w:t>
            </w:r>
          </w:p>
        </w:tc>
        <w:tc>
          <w:tcPr>
            <w:tcW w:w="6911" w:type="dxa"/>
            <w:gridSpan w:val="8"/>
          </w:tcPr>
          <w:p w:rsidR="004A2521" w:rsidRDefault="004A2521" w:rsidP="00B06364">
            <w:pPr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Nu este cazul.</w:t>
            </w:r>
          </w:p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4-a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Impactul financiar asupra bugetului general consolidat, atât pe termen scurt, pentru anul curent, cât şi pe termen lung (pe 5 ani)</w:t>
            </w:r>
          </w:p>
        </w:tc>
      </w:tr>
      <w:tr w:rsidR="004A2521" w:rsidRPr="00B659CD" w:rsidTr="00B06364">
        <w:trPr>
          <w:trHeight w:val="241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jc w:val="righ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- mii lei -</w:t>
            </w:r>
          </w:p>
        </w:tc>
      </w:tr>
      <w:tr w:rsidR="004A2521" w:rsidRPr="00B659CD" w:rsidTr="00B06364">
        <w:trPr>
          <w:trHeight w:val="557"/>
        </w:trPr>
        <w:tc>
          <w:tcPr>
            <w:tcW w:w="4410" w:type="dxa"/>
            <w:gridSpan w:val="3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Indicatori</w:t>
            </w:r>
          </w:p>
        </w:tc>
        <w:tc>
          <w:tcPr>
            <w:tcW w:w="990" w:type="dxa"/>
            <w:gridSpan w:val="2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Anul</w:t>
            </w:r>
          </w:p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curent</w:t>
            </w:r>
          </w:p>
        </w:tc>
        <w:tc>
          <w:tcPr>
            <w:tcW w:w="3330" w:type="dxa"/>
            <w:gridSpan w:val="4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Următorii</w:t>
            </w:r>
          </w:p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4 ani</w:t>
            </w:r>
          </w:p>
        </w:tc>
        <w:tc>
          <w:tcPr>
            <w:tcW w:w="1406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Media</w:t>
            </w:r>
          </w:p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>
              <w:rPr>
                <w:lang w:val="ro-RO"/>
              </w:rPr>
              <w:t>pe 4</w:t>
            </w:r>
            <w:r w:rsidRPr="00B659CD">
              <w:rPr>
                <w:lang w:val="ro-RO"/>
              </w:rPr>
              <w:t xml:space="preserve"> ani</w:t>
            </w:r>
          </w:p>
        </w:tc>
      </w:tr>
      <w:tr w:rsidR="004A2521" w:rsidRPr="00B659CD" w:rsidTr="00C17EF1">
        <w:trPr>
          <w:trHeight w:val="333"/>
        </w:trPr>
        <w:tc>
          <w:tcPr>
            <w:tcW w:w="4410" w:type="dxa"/>
            <w:gridSpan w:val="3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1</w:t>
            </w:r>
          </w:p>
        </w:tc>
        <w:tc>
          <w:tcPr>
            <w:tcW w:w="990" w:type="dxa"/>
            <w:gridSpan w:val="2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2</w:t>
            </w:r>
          </w:p>
        </w:tc>
        <w:tc>
          <w:tcPr>
            <w:tcW w:w="810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3</w:t>
            </w:r>
          </w:p>
        </w:tc>
        <w:tc>
          <w:tcPr>
            <w:tcW w:w="900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4</w:t>
            </w:r>
          </w:p>
        </w:tc>
        <w:tc>
          <w:tcPr>
            <w:tcW w:w="810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5</w:t>
            </w:r>
          </w:p>
        </w:tc>
        <w:tc>
          <w:tcPr>
            <w:tcW w:w="810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6</w:t>
            </w:r>
          </w:p>
        </w:tc>
        <w:tc>
          <w:tcPr>
            <w:tcW w:w="1406" w:type="dxa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7</w:t>
            </w: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spacing w:line="300" w:lineRule="atLeast"/>
              <w:jc w:val="center"/>
              <w:rPr>
                <w:lang w:val="ro-RO"/>
              </w:rPr>
            </w:pPr>
          </w:p>
        </w:tc>
        <w:tc>
          <w:tcPr>
            <w:tcW w:w="990" w:type="dxa"/>
            <w:gridSpan w:val="2"/>
          </w:tcPr>
          <w:p w:rsidR="004A2521" w:rsidRPr="00B659CD" w:rsidRDefault="004A2521" w:rsidP="00C17EF1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201</w:t>
            </w:r>
            <w:r>
              <w:rPr>
                <w:lang w:val="ro-RO"/>
              </w:rPr>
              <w:t>8</w:t>
            </w:r>
          </w:p>
        </w:tc>
        <w:tc>
          <w:tcPr>
            <w:tcW w:w="810" w:type="dxa"/>
          </w:tcPr>
          <w:p w:rsidR="004A2521" w:rsidRPr="00B659CD" w:rsidRDefault="004A2521" w:rsidP="00C17EF1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201</w:t>
            </w:r>
            <w:r>
              <w:rPr>
                <w:lang w:val="ro-RO"/>
              </w:rPr>
              <w:t>9</w:t>
            </w:r>
          </w:p>
        </w:tc>
        <w:tc>
          <w:tcPr>
            <w:tcW w:w="900" w:type="dxa"/>
          </w:tcPr>
          <w:p w:rsidR="004A2521" w:rsidRPr="00B659CD" w:rsidRDefault="004A2521" w:rsidP="00C17EF1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20</w:t>
            </w:r>
            <w:r>
              <w:rPr>
                <w:lang w:val="ro-RO"/>
              </w:rPr>
              <w:t>20</w:t>
            </w:r>
          </w:p>
        </w:tc>
        <w:tc>
          <w:tcPr>
            <w:tcW w:w="810" w:type="dxa"/>
          </w:tcPr>
          <w:p w:rsidR="004A2521" w:rsidRPr="00B659CD" w:rsidRDefault="004A2521" w:rsidP="00921D51">
            <w:pPr>
              <w:spacing w:line="300" w:lineRule="atLeast"/>
              <w:jc w:val="center"/>
              <w:rPr>
                <w:lang w:val="ro-RO"/>
              </w:rPr>
            </w:pPr>
            <w:r w:rsidRPr="00B659CD">
              <w:rPr>
                <w:lang w:val="ro-RO"/>
              </w:rPr>
              <w:t>20</w:t>
            </w:r>
            <w:r>
              <w:rPr>
                <w:lang w:val="ro-RO"/>
              </w:rPr>
              <w:t>21</w:t>
            </w:r>
          </w:p>
        </w:tc>
        <w:tc>
          <w:tcPr>
            <w:tcW w:w="810" w:type="dxa"/>
          </w:tcPr>
          <w:p w:rsidR="004A2521" w:rsidRPr="00B659CD" w:rsidRDefault="004A2521" w:rsidP="00921D51">
            <w:pPr>
              <w:spacing w:line="300" w:lineRule="atLeast"/>
              <w:jc w:val="center"/>
              <w:rPr>
                <w:lang w:val="ro-RO"/>
              </w:rPr>
            </w:pPr>
          </w:p>
        </w:tc>
        <w:tc>
          <w:tcPr>
            <w:tcW w:w="1406" w:type="dxa"/>
          </w:tcPr>
          <w:p w:rsidR="004A2521" w:rsidRPr="00B659CD" w:rsidRDefault="004A2521" w:rsidP="005219DA">
            <w:pPr>
              <w:spacing w:line="300" w:lineRule="atLeast"/>
              <w:rPr>
                <w:lang w:val="ro-RO"/>
              </w:rPr>
            </w:pPr>
          </w:p>
        </w:tc>
      </w:tr>
      <w:tr w:rsidR="004A2521" w:rsidRPr="00B659CD" w:rsidTr="00B06364">
        <w:trPr>
          <w:trHeight w:val="350"/>
        </w:trPr>
        <w:tc>
          <w:tcPr>
            <w:tcW w:w="4410" w:type="dxa"/>
            <w:gridSpan w:val="3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Modificări ale veniturilor bugetare, plus/minus, din care:</w:t>
            </w:r>
          </w:p>
          <w:p w:rsidR="004A2521" w:rsidRPr="00B659CD" w:rsidRDefault="004A2521" w:rsidP="00B06364">
            <w:pPr>
              <w:numPr>
                <w:ilvl w:val="0"/>
                <w:numId w:val="1"/>
              </w:num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buget de stat, din acesta:</w:t>
            </w:r>
          </w:p>
          <w:p w:rsidR="004A2521" w:rsidRPr="00B659CD" w:rsidRDefault="004A2521" w:rsidP="00B06364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300" w:lineRule="atLeast"/>
              <w:ind w:left="360" w:firstLine="0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impozit pe profit</w:t>
            </w:r>
          </w:p>
          <w:p w:rsidR="004A2521" w:rsidRPr="00B659CD" w:rsidRDefault="004A2521" w:rsidP="00B06364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impozit pe venit</w:t>
            </w:r>
          </w:p>
          <w:p w:rsidR="004A2521" w:rsidRPr="00B659CD" w:rsidRDefault="004A2521" w:rsidP="00B06364">
            <w:pPr>
              <w:numPr>
                <w:ilvl w:val="0"/>
                <w:numId w:val="1"/>
              </w:numPr>
              <w:tabs>
                <w:tab w:val="left" w:pos="720"/>
              </w:tabs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bugete locale:</w:t>
            </w:r>
          </w:p>
          <w:p w:rsidR="004A2521" w:rsidRPr="00B659CD" w:rsidRDefault="004A2521" w:rsidP="00B06364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impozit pe profit</w:t>
            </w:r>
          </w:p>
          <w:p w:rsidR="004A2521" w:rsidRPr="00B659CD" w:rsidRDefault="004A2521" w:rsidP="00B06364">
            <w:pPr>
              <w:numPr>
                <w:ilvl w:val="0"/>
                <w:numId w:val="1"/>
              </w:numPr>
              <w:tabs>
                <w:tab w:val="clear" w:pos="360"/>
                <w:tab w:val="left" w:pos="273"/>
              </w:tabs>
              <w:spacing w:line="300" w:lineRule="atLeast"/>
              <w:ind w:left="0" w:firstLine="0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bugetul asigurărilor sociale de stat:</w:t>
            </w:r>
          </w:p>
          <w:p w:rsidR="004A2521" w:rsidRPr="00B659CD" w:rsidRDefault="004A2521" w:rsidP="00B06364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contribuţii de asigurări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2. Modificări ale cheltuielilor bugetare plus/minus, din care:</w:t>
            </w:r>
          </w:p>
          <w:p w:rsidR="004A2521" w:rsidRPr="00B659CD" w:rsidRDefault="004A2521" w:rsidP="00B06364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buget de stat, din acesta:</w:t>
            </w:r>
          </w:p>
          <w:p w:rsidR="004A2521" w:rsidRPr="00B659CD" w:rsidRDefault="004A2521" w:rsidP="00B06364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cheltuieli de personal</w:t>
            </w:r>
          </w:p>
          <w:p w:rsidR="004A2521" w:rsidRPr="00B659CD" w:rsidRDefault="004A2521" w:rsidP="00B06364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bunuri şi servicii</w:t>
            </w:r>
          </w:p>
          <w:p w:rsidR="004A2521" w:rsidRPr="00B659CD" w:rsidRDefault="004A2521" w:rsidP="00B06364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line="300" w:lineRule="atLeast"/>
              <w:ind w:left="360"/>
              <w:rPr>
                <w:lang w:val="ro-RO"/>
              </w:rPr>
            </w:pPr>
            <w:r w:rsidRPr="00B659CD">
              <w:rPr>
                <w:lang w:val="ro-RO"/>
              </w:rPr>
              <w:t>bugete locale:</w:t>
            </w:r>
          </w:p>
          <w:p w:rsidR="004A2521" w:rsidRPr="00B659CD" w:rsidRDefault="004A2521" w:rsidP="00B06364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cheltuieli de personal</w:t>
            </w:r>
          </w:p>
          <w:p w:rsidR="004A2521" w:rsidRPr="00B659CD" w:rsidRDefault="004A2521" w:rsidP="00B06364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bunuri şi servicii</w:t>
            </w:r>
          </w:p>
          <w:p w:rsidR="004A2521" w:rsidRPr="00B659CD" w:rsidRDefault="004A2521" w:rsidP="00B06364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  <w:tab w:val="left" w:pos="273"/>
              </w:tabs>
              <w:autoSpaceDE w:val="0"/>
              <w:autoSpaceDN w:val="0"/>
              <w:adjustRightInd w:val="0"/>
              <w:spacing w:line="300" w:lineRule="atLeast"/>
              <w:ind w:left="0" w:firstLine="0"/>
              <w:rPr>
                <w:lang w:val="ro-RO"/>
              </w:rPr>
            </w:pPr>
            <w:r w:rsidRPr="00B659CD">
              <w:rPr>
                <w:lang w:val="ro-RO"/>
              </w:rPr>
              <w:t>bugetul asigurărilor sociale de stat:</w:t>
            </w:r>
          </w:p>
          <w:p w:rsidR="004A2521" w:rsidRPr="00B659CD" w:rsidRDefault="004A2521" w:rsidP="00B06364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300" w:lineRule="atLeast"/>
              <w:ind w:hanging="2700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cheltuieli de personal</w:t>
            </w:r>
          </w:p>
          <w:p w:rsidR="004A2521" w:rsidRPr="00B659CD" w:rsidRDefault="004A2521" w:rsidP="00B06364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300" w:lineRule="atLeast"/>
              <w:ind w:hanging="2700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 bunuri şi servicii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3. Impact financiar, plus/minus, din care:</w:t>
            </w:r>
          </w:p>
          <w:p w:rsidR="004A2521" w:rsidRPr="00B659CD" w:rsidRDefault="004A2521" w:rsidP="00B063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buget de stat</w:t>
            </w:r>
          </w:p>
          <w:p w:rsidR="004A2521" w:rsidRPr="00B659CD" w:rsidRDefault="004A2521" w:rsidP="00B063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bugete locale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8"/>
                <w:lang w:val="ro-RO"/>
              </w:rPr>
            </w:pPr>
            <w:r w:rsidRPr="00B659CD">
              <w:rPr>
                <w:spacing w:val="-8"/>
                <w:lang w:val="ro-RO"/>
              </w:rPr>
              <w:t>4. Propuneri pentru acoperirea creşterii cheltuielilor bugetare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are impact în acest domeniu.</w:t>
            </w: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8"/>
                <w:lang w:val="ro-RO"/>
              </w:rPr>
            </w:pPr>
            <w:r w:rsidRPr="00B659CD">
              <w:rPr>
                <w:spacing w:val="-8"/>
                <w:lang w:val="ro-RO"/>
              </w:rPr>
              <w:t>5. Propuneri pentru a compensa reducerea veniturilor bugetare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are impact în acest domeniu.</w:t>
            </w: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tabs>
                <w:tab w:val="left" w:pos="273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8"/>
                <w:lang w:val="ro-RO"/>
              </w:rPr>
            </w:pPr>
            <w:r w:rsidRPr="00B659CD">
              <w:rPr>
                <w:spacing w:val="-8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are impact în acest domeniu.</w:t>
            </w:r>
          </w:p>
        </w:tc>
      </w:tr>
      <w:tr w:rsidR="004A2521" w:rsidRPr="00B659CD" w:rsidTr="00B06364">
        <w:tc>
          <w:tcPr>
            <w:tcW w:w="4410" w:type="dxa"/>
            <w:gridSpan w:val="3"/>
          </w:tcPr>
          <w:p w:rsidR="004A2521" w:rsidRPr="00B659CD" w:rsidRDefault="004A2521" w:rsidP="00B06364">
            <w:pPr>
              <w:tabs>
                <w:tab w:val="left" w:pos="273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8"/>
                <w:lang w:val="ro-RO"/>
              </w:rPr>
            </w:pPr>
            <w:r>
              <w:rPr>
                <w:spacing w:val="-8"/>
                <w:lang w:val="ro-RO"/>
              </w:rPr>
              <w:t>7. Alte informaţ</w:t>
            </w:r>
            <w:r w:rsidRPr="00B659CD">
              <w:rPr>
                <w:spacing w:val="-8"/>
                <w:lang w:val="ro-RO"/>
              </w:rPr>
              <w:t xml:space="preserve">ii </w:t>
            </w:r>
          </w:p>
        </w:tc>
        <w:tc>
          <w:tcPr>
            <w:tcW w:w="5726" w:type="dxa"/>
            <w:gridSpan w:val="7"/>
          </w:tcPr>
          <w:p w:rsidR="004A2521" w:rsidRPr="00B659CD" w:rsidRDefault="004A2521" w:rsidP="00921D51">
            <w:pPr>
              <w:spacing w:line="300" w:lineRule="atLeast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Ajutorul de stat pentru facilitarea închiderii minelor necompetitive din cadrul SNIMVJ SA în s</w:t>
            </w:r>
            <w:r w:rsidRPr="00B659CD">
              <w:rPr>
                <w:bCs/>
                <w:lang w:val="ro-RO"/>
              </w:rPr>
              <w:t>uma de</w:t>
            </w:r>
            <w:r>
              <w:rPr>
                <w:bCs/>
                <w:lang w:val="ro-RO"/>
              </w:rPr>
              <w:t xml:space="preserve"> 68.260 mii lei se asigură de la bugetul de stat,</w:t>
            </w:r>
            <w:r w:rsidRPr="00B659CD">
              <w:rPr>
                <w:bCs/>
                <w:lang w:val="ro-RO"/>
              </w:rPr>
              <w:t xml:space="preserve"> din bugetul</w:t>
            </w:r>
            <w:r w:rsidRPr="00B659CD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aprobat </w:t>
            </w:r>
            <w:r w:rsidRPr="00B659CD">
              <w:rPr>
                <w:color w:val="000000"/>
                <w:lang w:val="ro-RO"/>
              </w:rPr>
              <w:t xml:space="preserve">Ministerului </w:t>
            </w:r>
            <w:r>
              <w:rPr>
                <w:lang w:val="ro-RO"/>
              </w:rPr>
              <w:t>Energiei, cu încadrarea în prevederile bugetare aprobate cu această destinaţie.</w:t>
            </w:r>
          </w:p>
        </w:tc>
      </w:tr>
      <w:tr w:rsidR="004A2521" w:rsidRPr="00B659CD" w:rsidTr="00B06364">
        <w:tc>
          <w:tcPr>
            <w:tcW w:w="10136" w:type="dxa"/>
            <w:gridSpan w:val="10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5-a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Efectele proiectului de act normativ asupra legislaţiei în vigoare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1. Măsuri normative necesare pentru aplicarea prevederilor proiectului de act normativ: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>
              <w:rPr>
                <w:spacing w:val="-2"/>
                <w:lang w:val="ro-RO"/>
              </w:rPr>
              <w:t xml:space="preserve"> </w:t>
            </w: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  <w:p w:rsidR="004A2521" w:rsidRPr="00B659CD" w:rsidRDefault="004A2521" w:rsidP="00B06364">
            <w:pPr>
              <w:spacing w:line="300" w:lineRule="atLeast"/>
              <w:jc w:val="both"/>
              <w:rPr>
                <w:spacing w:val="-6"/>
                <w:lang w:val="ro-RO"/>
              </w:rPr>
            </w:pPr>
          </w:p>
        </w:tc>
      </w:tr>
      <w:tr w:rsidR="004A2521" w:rsidRPr="00B659CD" w:rsidTr="00B06364">
        <w:trPr>
          <w:trHeight w:val="973"/>
        </w:trPr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3.Măsuri normative necesare aplicării directe a actelor normative comunitare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14"/>
                <w:lang w:val="ro-RO"/>
              </w:rPr>
            </w:pPr>
            <w:r w:rsidRPr="00B659CD">
              <w:rPr>
                <w:spacing w:val="-14"/>
                <w:lang w:val="ro-RO"/>
              </w:rPr>
              <w:t>4. Hotărâri ale Curţii de Justiţie a Uniunii Europene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5219DA">
            <w:pPr>
              <w:spacing w:line="300" w:lineRule="atLeast"/>
              <w:jc w:val="both"/>
              <w:rPr>
                <w:lang w:val="ro-RO"/>
              </w:rPr>
            </w:pPr>
            <w:r w:rsidRPr="00D41D65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rPr>
          <w:trHeight w:val="233"/>
        </w:trPr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lang w:val="ro-RO"/>
              </w:rPr>
            </w:pPr>
            <w:r w:rsidRPr="00B659CD">
              <w:rPr>
                <w:lang w:val="ro-RO"/>
              </w:rPr>
              <w:t>6. Alte informaţii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Nu este cazul</w:t>
            </w:r>
          </w:p>
        </w:tc>
      </w:tr>
      <w:tr w:rsidR="004A2521" w:rsidRPr="00B659CD" w:rsidTr="00B06364">
        <w:tc>
          <w:tcPr>
            <w:tcW w:w="10136" w:type="dxa"/>
            <w:gridSpan w:val="10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6-a</w:t>
            </w:r>
          </w:p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Consultările efectuate în vederea elaborării proiectului de act normativ</w:t>
            </w:r>
          </w:p>
        </w:tc>
      </w:tr>
      <w:tr w:rsidR="004A2521" w:rsidRPr="00B659CD" w:rsidTr="00B06364">
        <w:trPr>
          <w:trHeight w:val="350"/>
        </w:trPr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numPr>
                <w:ilvl w:val="2"/>
                <w:numId w:val="5"/>
              </w:numPr>
              <w:tabs>
                <w:tab w:val="clear" w:pos="2340"/>
                <w:tab w:val="num" w:pos="273"/>
              </w:tabs>
              <w:autoSpaceDE w:val="0"/>
              <w:autoSpaceDN w:val="0"/>
              <w:adjustRightInd w:val="0"/>
              <w:spacing w:line="300" w:lineRule="atLeast"/>
              <w:ind w:left="0" w:firstLine="0"/>
              <w:jc w:val="both"/>
              <w:rPr>
                <w:spacing w:val="-8"/>
                <w:lang w:val="ro-RO"/>
              </w:rPr>
            </w:pPr>
            <w:r w:rsidRPr="00B659CD">
              <w:rPr>
                <w:spacing w:val="-8"/>
                <w:lang w:val="ro-RO"/>
              </w:rPr>
              <w:t>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administraţiei publice locale la elaborarea proiectelor de acte normative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4"/>
                <w:lang w:val="ro-RO"/>
              </w:rPr>
            </w:pPr>
            <w:r w:rsidRPr="00B659CD">
              <w:rPr>
                <w:lang w:val="ro-RO"/>
              </w:rPr>
              <w:t xml:space="preserve">4. </w:t>
            </w:r>
            <w:r w:rsidRPr="00B659CD">
              <w:rPr>
                <w:spacing w:val="-4"/>
                <w:lang w:val="ro-RO"/>
              </w:rPr>
              <w:t>Consultările desfăşurate în cadrul consiliilor interministeriale, în conformitate cu prevederile Hotărârii  Guvernului nr. 750/2005 privind constituirea consiliilor interministeriale permanente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5. Informaţii privind avizarea către: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a) Consiliul Legislativ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b) Consiliul Suprem de Apărare a Tarii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c) Consiliul Economic şi Social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d) Consiliul Concurenţei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e) Curtea de Conturi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În </w:t>
            </w:r>
            <w:r w:rsidRPr="00B659CD">
              <w:rPr>
                <w:spacing w:val="-6"/>
                <w:lang w:val="ro-RO"/>
              </w:rPr>
              <w:t>cadrul</w:t>
            </w:r>
            <w:r w:rsidRPr="00B659CD">
              <w:rPr>
                <w:lang w:val="ro-RO"/>
              </w:rPr>
              <w:t xml:space="preserve"> procesului de avizare în vederea adoptării, proiectul de act normativ urmează să fie avizat</w:t>
            </w:r>
            <w:r>
              <w:rPr>
                <w:lang w:val="ro-RO"/>
              </w:rPr>
              <w:t xml:space="preserve"> de către Consiliul Legislativ şi Consiliul Concurenţ</w:t>
            </w:r>
            <w:r w:rsidRPr="00B659CD">
              <w:rPr>
                <w:lang w:val="ro-RO"/>
              </w:rPr>
              <w:t>ei.</w:t>
            </w:r>
          </w:p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6. </w:t>
            </w:r>
            <w:r>
              <w:rPr>
                <w:lang w:val="ro-RO"/>
              </w:rPr>
              <w:t>Alte informaţ</w:t>
            </w:r>
            <w:r w:rsidRPr="00B659CD">
              <w:rPr>
                <w:lang w:val="ro-RO"/>
              </w:rPr>
              <w:t>ii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Nu este cazul.</w:t>
            </w:r>
          </w:p>
        </w:tc>
      </w:tr>
      <w:tr w:rsidR="004A2521" w:rsidRPr="00B659CD" w:rsidTr="00B06364">
        <w:trPr>
          <w:trHeight w:val="512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Secţiunea a 7-a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 Bold" w:hAnsi="Times New Roman Bold"/>
                <w:b/>
                <w:spacing w:val="-2"/>
                <w:lang w:val="ro-RO"/>
              </w:rPr>
            </w:pPr>
            <w:r w:rsidRPr="00B659CD">
              <w:rPr>
                <w:rFonts w:ascii="Times New Roman Bold" w:hAnsi="Times New Roman Bold"/>
                <w:b/>
                <w:spacing w:val="-2"/>
                <w:lang w:val="ro-RO"/>
              </w:rPr>
              <w:t>Activităţi de informare publică privind elaborarea şi implementarea proiectului de act normativ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spacing w:val="-10"/>
                <w:lang w:val="ro-RO"/>
              </w:rPr>
            </w:pPr>
            <w:r w:rsidRPr="00B659CD">
              <w:rPr>
                <w:spacing w:val="-10"/>
                <w:lang w:val="ro-RO"/>
              </w:rPr>
              <w:t>1.Informarea societăţii civile cu privire la necesitatea elaborării proiectului de act normativ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color w:val="000000"/>
                <w:lang w:val="ro-RO"/>
              </w:rPr>
              <w:t>În procesul de elaborare a proiectului de act normativ au fost îndeplinite procedurile de transparentă instituite prin Legea nr. 52/2003 privind transparenţa decizională în administraţia publică, republicată</w:t>
            </w:r>
            <w:r w:rsidRPr="00B659CD">
              <w:rPr>
                <w:lang w:val="ro-RO"/>
              </w:rPr>
              <w:t>.</w:t>
            </w:r>
          </w:p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Proiectul de act normativ a fost publicat pe site-ul  </w:t>
            </w:r>
            <w:hyperlink r:id="rId7" w:history="1">
              <w:r w:rsidRPr="00326BE2">
                <w:rPr>
                  <w:rStyle w:val="Hyperlink"/>
                  <w:color w:val="auto"/>
                  <w:lang w:val="ro-RO"/>
                </w:rPr>
                <w:t>www.energie.gov.ro</w:t>
              </w:r>
            </w:hyperlink>
            <w:r w:rsidRPr="00326BE2">
              <w:rPr>
                <w:lang w:val="ro-RO"/>
              </w:rPr>
              <w:t>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2.</w:t>
            </w:r>
            <w:r w:rsidRPr="00B659CD">
              <w:rPr>
                <w:spacing w:val="-4"/>
                <w:lang w:val="ro-RO"/>
              </w:rPr>
              <w:t xml:space="preserve">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Proiectul de act normativ nu se referă la acest subiect.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>
              <w:rPr>
                <w:lang w:val="ro-RO"/>
              </w:rPr>
              <w:t>3. Alte informaţ</w:t>
            </w:r>
            <w:r w:rsidRPr="00B659CD">
              <w:rPr>
                <w:lang w:val="ro-RO"/>
              </w:rPr>
              <w:t>ii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Nu este cazul.</w:t>
            </w:r>
          </w:p>
        </w:tc>
      </w:tr>
      <w:tr w:rsidR="004A2521" w:rsidRPr="00B659CD" w:rsidTr="00B06364">
        <w:trPr>
          <w:trHeight w:val="548"/>
        </w:trPr>
        <w:tc>
          <w:tcPr>
            <w:tcW w:w="10136" w:type="dxa"/>
            <w:gridSpan w:val="10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 xml:space="preserve">Secţiunea a 8-a </w:t>
            </w:r>
          </w:p>
          <w:p w:rsidR="004A2521" w:rsidRPr="00B659CD" w:rsidRDefault="004A2521" w:rsidP="00B06364">
            <w:pPr>
              <w:spacing w:line="300" w:lineRule="atLeast"/>
              <w:rPr>
                <w:b/>
                <w:lang w:val="ro-RO"/>
              </w:rPr>
            </w:pPr>
            <w:r w:rsidRPr="00B659CD">
              <w:rPr>
                <w:b/>
                <w:lang w:val="ro-RO"/>
              </w:rPr>
              <w:t>Măsuri de implementare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1. Măsurile de punere în aplicare a proiectului de act normativ de către autorităţile administraţiei publice centrale şi/sau locale – înfiinţarea unor noi organisme sau extinderea competenţelor instituţiilor existente.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D41D65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Funcţiile de supraveghere vor fi îndeplinite de instituţiile existente: Ministerul Ene</w:t>
            </w:r>
            <w:r>
              <w:rPr>
                <w:lang w:val="ro-RO"/>
              </w:rPr>
              <w:t>rgiei, Ministerul Finanţelor Publice</w:t>
            </w:r>
            <w:r w:rsidRPr="00502F22">
              <w:rPr>
                <w:lang w:val="ro-RO"/>
              </w:rPr>
              <w:t>.</w:t>
            </w:r>
          </w:p>
        </w:tc>
      </w:tr>
      <w:tr w:rsidR="004A2521" w:rsidRPr="00B659CD" w:rsidTr="00B06364">
        <w:tc>
          <w:tcPr>
            <w:tcW w:w="4500" w:type="dxa"/>
            <w:gridSpan w:val="4"/>
          </w:tcPr>
          <w:p w:rsidR="004A2521" w:rsidRPr="00B659CD" w:rsidRDefault="004A2521" w:rsidP="00B06364">
            <w:pPr>
              <w:autoSpaceDE w:val="0"/>
              <w:autoSpaceDN w:val="0"/>
              <w:adjustRightInd w:val="0"/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 xml:space="preserve">2. </w:t>
            </w:r>
            <w:r>
              <w:rPr>
                <w:lang w:val="ro-RO"/>
              </w:rPr>
              <w:t>Alte informaţ</w:t>
            </w:r>
            <w:r w:rsidRPr="00B659CD">
              <w:rPr>
                <w:lang w:val="ro-RO"/>
              </w:rPr>
              <w:t>ii</w:t>
            </w:r>
          </w:p>
        </w:tc>
        <w:tc>
          <w:tcPr>
            <w:tcW w:w="5636" w:type="dxa"/>
            <w:gridSpan w:val="6"/>
          </w:tcPr>
          <w:p w:rsidR="004A2521" w:rsidRPr="00B659CD" w:rsidRDefault="004A2521" w:rsidP="00B06364">
            <w:pPr>
              <w:spacing w:line="300" w:lineRule="atLeast"/>
              <w:jc w:val="both"/>
              <w:rPr>
                <w:lang w:val="ro-RO"/>
              </w:rPr>
            </w:pPr>
            <w:r w:rsidRPr="00B659CD">
              <w:rPr>
                <w:lang w:val="ro-RO"/>
              </w:rPr>
              <w:t>Nu este cazul.</w:t>
            </w:r>
          </w:p>
        </w:tc>
      </w:tr>
    </w:tbl>
    <w:p w:rsidR="004A2521" w:rsidRDefault="004A2521" w:rsidP="000F3BDD">
      <w:pPr>
        <w:pStyle w:val="Default"/>
        <w:spacing w:line="300" w:lineRule="atLeast"/>
        <w:ind w:right="-274"/>
        <w:jc w:val="both"/>
        <w:rPr>
          <w:bCs/>
          <w:lang w:val="ro-RO"/>
        </w:rPr>
      </w:pPr>
      <w:r w:rsidRPr="00B659CD">
        <w:rPr>
          <w:bCs/>
          <w:lang w:val="ro-RO"/>
        </w:rPr>
        <w:t xml:space="preserve">       </w:t>
      </w:r>
      <w:r>
        <w:rPr>
          <w:bCs/>
          <w:lang w:val="ro-RO"/>
        </w:rPr>
        <w:t xml:space="preserve">       </w:t>
      </w:r>
    </w:p>
    <w:p w:rsidR="004A2521" w:rsidRDefault="004A2521" w:rsidP="004D7433">
      <w:pPr>
        <w:pStyle w:val="Default"/>
        <w:spacing w:line="300" w:lineRule="atLeast"/>
        <w:ind w:right="-274" w:firstLine="708"/>
        <w:jc w:val="both"/>
        <w:rPr>
          <w:bCs/>
          <w:lang w:val="ro-RO"/>
        </w:rPr>
      </w:pPr>
      <w:r w:rsidRPr="009954B8">
        <w:rPr>
          <w:bCs/>
          <w:lang w:val="ro-RO"/>
        </w:rPr>
        <w:t>Faţă de cele prezentate mai sus, în temeiul art. 108 din Constituţia României, republicată,</w:t>
      </w:r>
      <w:r w:rsidRPr="004D7433">
        <w:rPr>
          <w:sz w:val="20"/>
          <w:szCs w:val="20"/>
          <w:lang w:val="ro-RO"/>
        </w:rPr>
        <w:t xml:space="preserve"> </w:t>
      </w:r>
      <w:r w:rsidRPr="004D7433">
        <w:rPr>
          <w:bCs/>
          <w:lang w:val="ro-RO"/>
        </w:rPr>
        <w:t>a fost elaborat alăturatul proiect de Hotărâre a Guvernului privind aprobarea acordării ajutorului de stat pentru facilitarea închiderii minelor de cărbune necompetitive din cadrul Societăţii Naţionale de Închideri</w:t>
      </w:r>
      <w:r>
        <w:rPr>
          <w:bCs/>
          <w:lang w:val="ro-RO"/>
        </w:rPr>
        <w:t xml:space="preserve"> Mine Valea Jiului - S.A. Petroş</w:t>
      </w:r>
      <w:r w:rsidRPr="004D7433">
        <w:rPr>
          <w:bCs/>
          <w:lang w:val="ro-RO"/>
        </w:rPr>
        <w:t xml:space="preserve">ani, pentru anul 2018, </w:t>
      </w:r>
      <w:r>
        <w:rPr>
          <w:bCs/>
          <w:lang w:val="ro-RO"/>
        </w:rPr>
        <w:t>pe care îl supunem aprobă</w:t>
      </w:r>
      <w:r w:rsidRPr="004D7433">
        <w:rPr>
          <w:bCs/>
          <w:lang w:val="ro-RO"/>
        </w:rPr>
        <w:t>rii.</w:t>
      </w:r>
    </w:p>
    <w:p w:rsidR="004A2521" w:rsidRPr="004D7433" w:rsidRDefault="004A2521" w:rsidP="006D2F2A">
      <w:pPr>
        <w:pStyle w:val="Default"/>
        <w:spacing w:line="300" w:lineRule="atLeast"/>
        <w:ind w:right="-274"/>
        <w:jc w:val="both"/>
        <w:rPr>
          <w:bCs/>
          <w:lang w:val="ro-RO"/>
        </w:rPr>
      </w:pPr>
    </w:p>
    <w:tbl>
      <w:tblPr>
        <w:tblW w:w="10302" w:type="dxa"/>
        <w:tblInd w:w="-176" w:type="dxa"/>
        <w:tblLook w:val="00A0"/>
      </w:tblPr>
      <w:tblGrid>
        <w:gridCol w:w="5197"/>
        <w:gridCol w:w="5105"/>
      </w:tblGrid>
      <w:tr w:rsidR="004A2521" w:rsidTr="006D2F2A">
        <w:trPr>
          <w:trHeight w:val="318"/>
        </w:trPr>
        <w:tc>
          <w:tcPr>
            <w:tcW w:w="10302" w:type="dxa"/>
            <w:gridSpan w:val="2"/>
            <w:noWrap/>
            <w:vAlign w:val="bottom"/>
          </w:tcPr>
          <w:p w:rsidR="004A2521" w:rsidRPr="006D2F2A" w:rsidRDefault="004A2521" w:rsidP="00F72BE4">
            <w:pPr>
              <w:jc w:val="center"/>
              <w:rPr>
                <w:b/>
                <w:color w:val="000000"/>
              </w:rPr>
            </w:pPr>
            <w:r w:rsidRPr="006D2F2A">
              <w:rPr>
                <w:b/>
                <w:color w:val="000000"/>
              </w:rPr>
              <w:t>MINISTRUL ENERGIEI</w:t>
            </w:r>
          </w:p>
          <w:p w:rsidR="004A2521" w:rsidRPr="006D2F2A" w:rsidRDefault="004A2521" w:rsidP="00F72B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2F2A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:rsidR="004A2521" w:rsidRPr="006D2F2A" w:rsidRDefault="004A2521" w:rsidP="00F72BE4">
            <w:pPr>
              <w:jc w:val="center"/>
              <w:rPr>
                <w:b/>
                <w:color w:val="000000"/>
              </w:rPr>
            </w:pPr>
            <w:r w:rsidRPr="006D2F2A">
              <w:rPr>
                <w:b/>
                <w:color w:val="000000"/>
              </w:rPr>
              <w:t>ANTON ANTON</w:t>
            </w:r>
          </w:p>
          <w:p w:rsidR="004A2521" w:rsidRPr="00F72BE4" w:rsidRDefault="004A2521" w:rsidP="00F72BE4">
            <w:pPr>
              <w:jc w:val="center"/>
              <w:rPr>
                <w:color w:val="000000"/>
              </w:rPr>
            </w:pPr>
          </w:p>
          <w:p w:rsidR="004A2521" w:rsidRDefault="004A2521" w:rsidP="00F72B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2521" w:rsidTr="006D2F2A">
        <w:trPr>
          <w:trHeight w:val="318"/>
        </w:trPr>
        <w:tc>
          <w:tcPr>
            <w:tcW w:w="10302" w:type="dxa"/>
            <w:gridSpan w:val="2"/>
            <w:noWrap/>
            <w:vAlign w:val="bottom"/>
          </w:tcPr>
          <w:p w:rsidR="004A2521" w:rsidRPr="006D2F2A" w:rsidRDefault="004A2521" w:rsidP="00F72BE4">
            <w:pPr>
              <w:spacing w:line="276" w:lineRule="auto"/>
              <w:jc w:val="center"/>
              <w:rPr>
                <w:b/>
                <w:lang w:val="ro-RO"/>
              </w:rPr>
            </w:pPr>
            <w:r w:rsidRPr="006D2F2A">
              <w:rPr>
                <w:b/>
                <w:lang w:val="ro-RO"/>
              </w:rPr>
              <w:t>A V I Z Ă M</w:t>
            </w:r>
          </w:p>
        </w:tc>
      </w:tr>
      <w:tr w:rsidR="004A2521" w:rsidTr="006D2F2A">
        <w:trPr>
          <w:trHeight w:val="318"/>
        </w:trPr>
        <w:tc>
          <w:tcPr>
            <w:tcW w:w="5197" w:type="dxa"/>
            <w:noWrap/>
            <w:vAlign w:val="bottom"/>
          </w:tcPr>
          <w:p w:rsidR="004A2521" w:rsidRPr="006D2F2A" w:rsidRDefault="004A2521" w:rsidP="006D2F2A">
            <w:pPr>
              <w:spacing w:line="276" w:lineRule="auto"/>
              <w:jc w:val="both"/>
              <w:rPr>
                <w:b/>
                <w:bCs/>
                <w:lang w:val="ro-RO"/>
              </w:rPr>
            </w:pPr>
            <w:r w:rsidRPr="006D2F2A">
              <w:rPr>
                <w:b/>
                <w:bCs/>
                <w:lang w:val="ro-RO"/>
              </w:rPr>
              <w:tab/>
            </w:r>
          </w:p>
          <w:p w:rsidR="004A2521" w:rsidRPr="006D2F2A" w:rsidRDefault="004A2521" w:rsidP="006D2F2A">
            <w:pPr>
              <w:spacing w:line="276" w:lineRule="auto"/>
              <w:jc w:val="both"/>
              <w:rPr>
                <w:b/>
                <w:bCs/>
                <w:lang w:val="ro-RO"/>
              </w:rPr>
            </w:pPr>
            <w:r w:rsidRPr="006D2F2A">
              <w:rPr>
                <w:b/>
                <w:bCs/>
                <w:lang w:val="ro-RO"/>
              </w:rPr>
              <w:t xml:space="preserve">MINISTERUL  FINANTELOR  PUBLICE                             </w:t>
            </w:r>
          </w:p>
          <w:p w:rsidR="004A2521" w:rsidRPr="006D2F2A" w:rsidRDefault="004A2521" w:rsidP="006D2F2A">
            <w:pPr>
              <w:spacing w:line="276" w:lineRule="auto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4A2521" w:rsidRPr="00CC4739" w:rsidRDefault="004A2521" w:rsidP="006D2F2A">
            <w:pPr>
              <w:spacing w:line="276" w:lineRule="auto"/>
              <w:jc w:val="both"/>
              <w:rPr>
                <w:lang w:val="ro-RO"/>
              </w:rPr>
            </w:pPr>
            <w:r w:rsidRPr="006D2F2A">
              <w:rPr>
                <w:b/>
                <w:lang w:val="ro-RO"/>
              </w:rPr>
              <w:t>EUGEN  ORLANDO  TEODOROVICI</w:t>
            </w:r>
          </w:p>
        </w:tc>
        <w:tc>
          <w:tcPr>
            <w:tcW w:w="5105" w:type="dxa"/>
            <w:vAlign w:val="bottom"/>
          </w:tcPr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lang w:val="ro-RO"/>
              </w:rPr>
            </w:pPr>
            <w:r w:rsidRPr="006D2F2A">
              <w:rPr>
                <w:b/>
                <w:lang w:val="ro-RO"/>
              </w:rPr>
              <w:t>MINISTERUL  JUSTITIEI</w:t>
            </w:r>
          </w:p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4A2521" w:rsidRPr="00CC4739" w:rsidRDefault="004A2521" w:rsidP="006D2F2A">
            <w:pPr>
              <w:spacing w:line="276" w:lineRule="auto"/>
              <w:jc w:val="center"/>
              <w:rPr>
                <w:lang w:val="ro-RO"/>
              </w:rPr>
            </w:pPr>
            <w:r w:rsidRPr="006D2F2A">
              <w:rPr>
                <w:b/>
                <w:lang w:val="ro-RO"/>
              </w:rPr>
              <w:t>TUDOREL  TOADER</w:t>
            </w:r>
          </w:p>
        </w:tc>
      </w:tr>
      <w:tr w:rsidR="004A2521" w:rsidRPr="006D2F2A" w:rsidTr="006D2F2A">
        <w:trPr>
          <w:trHeight w:val="318"/>
        </w:trPr>
        <w:tc>
          <w:tcPr>
            <w:tcW w:w="5197" w:type="dxa"/>
            <w:noWrap/>
            <w:vAlign w:val="bottom"/>
          </w:tcPr>
          <w:p w:rsidR="004A2521" w:rsidRDefault="004A2521" w:rsidP="006D2F2A">
            <w:pPr>
              <w:spacing w:line="276" w:lineRule="auto"/>
              <w:jc w:val="center"/>
              <w:rPr>
                <w:b/>
                <w:lang w:val="ro-RO"/>
              </w:rPr>
            </w:pPr>
          </w:p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lang w:val="ro-RO"/>
              </w:rPr>
            </w:pPr>
          </w:p>
          <w:p w:rsidR="004A2521" w:rsidRPr="006D2F2A" w:rsidRDefault="004A2521" w:rsidP="006D2F2A">
            <w:pPr>
              <w:spacing w:line="276" w:lineRule="auto"/>
              <w:rPr>
                <w:b/>
                <w:lang w:val="ro-RO"/>
              </w:rPr>
            </w:pPr>
            <w:r w:rsidRPr="006D2F2A">
              <w:rPr>
                <w:b/>
                <w:lang w:val="ro-RO"/>
              </w:rPr>
              <w:t>MINISTERUL  AFACERILOR  EXTERNE</w:t>
            </w:r>
          </w:p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4A2521" w:rsidRPr="006D2F2A" w:rsidRDefault="004A2521" w:rsidP="006D2F2A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</w:t>
            </w:r>
            <w:r w:rsidRPr="006D2F2A">
              <w:rPr>
                <w:b/>
                <w:lang w:val="ro-RO"/>
              </w:rPr>
              <w:t>TEODOR-VIOREL MELESCANU</w:t>
            </w:r>
          </w:p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vAlign w:val="bottom"/>
          </w:tcPr>
          <w:p w:rsidR="004A2521" w:rsidRPr="006D2F2A" w:rsidRDefault="004A2521" w:rsidP="006D2F2A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:rsidR="004A2521" w:rsidRDefault="004A2521" w:rsidP="00AB661D">
      <w:pPr>
        <w:rPr>
          <w:b/>
          <w:bCs/>
          <w:lang w:val="ro-RO"/>
        </w:rPr>
      </w:pPr>
      <w:bookmarkStart w:id="1" w:name="_GoBack"/>
      <w:bookmarkEnd w:id="1"/>
    </w:p>
    <w:sectPr w:rsidR="004A2521" w:rsidSect="00B06364">
      <w:footerReference w:type="default" r:id="rId8"/>
      <w:pgSz w:w="11906" w:h="16838"/>
      <w:pgMar w:top="1418" w:right="567" w:bottom="1418" w:left="133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21" w:rsidRDefault="004A2521" w:rsidP="00AB0D7E">
      <w:r>
        <w:separator/>
      </w:r>
    </w:p>
  </w:endnote>
  <w:endnote w:type="continuationSeparator" w:id="0">
    <w:p w:rsidR="004A2521" w:rsidRDefault="004A2521" w:rsidP="00AB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21" w:rsidRDefault="004A252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A2521" w:rsidRDefault="004A2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21" w:rsidRDefault="004A2521" w:rsidP="00AB0D7E">
      <w:r>
        <w:separator/>
      </w:r>
    </w:p>
  </w:footnote>
  <w:footnote w:type="continuationSeparator" w:id="0">
    <w:p w:rsidR="004A2521" w:rsidRDefault="004A2521" w:rsidP="00AB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854868"/>
    <w:multiLevelType w:val="hybridMultilevel"/>
    <w:tmpl w:val="2A8CCB6A"/>
    <w:lvl w:ilvl="0" w:tplc="2704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BA118E"/>
    <w:multiLevelType w:val="hybridMultilevel"/>
    <w:tmpl w:val="B94E80C2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66635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AC24B6"/>
    <w:multiLevelType w:val="hybridMultilevel"/>
    <w:tmpl w:val="2EE42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C7387"/>
    <w:multiLevelType w:val="hybridMultilevel"/>
    <w:tmpl w:val="49EAF5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DD"/>
    <w:rsid w:val="00007208"/>
    <w:rsid w:val="00043482"/>
    <w:rsid w:val="00061948"/>
    <w:rsid w:val="00076B5F"/>
    <w:rsid w:val="000E0E0B"/>
    <w:rsid w:val="000F3BDD"/>
    <w:rsid w:val="000F410E"/>
    <w:rsid w:val="0012382E"/>
    <w:rsid w:val="00141CA8"/>
    <w:rsid w:val="00164EA0"/>
    <w:rsid w:val="00191E61"/>
    <w:rsid w:val="001A65B7"/>
    <w:rsid w:val="001A7341"/>
    <w:rsid w:val="002538F1"/>
    <w:rsid w:val="00265AA7"/>
    <w:rsid w:val="00290941"/>
    <w:rsid w:val="003153DF"/>
    <w:rsid w:val="00320CD4"/>
    <w:rsid w:val="00326BE2"/>
    <w:rsid w:val="00376C59"/>
    <w:rsid w:val="003A4D31"/>
    <w:rsid w:val="003E2398"/>
    <w:rsid w:val="003E2769"/>
    <w:rsid w:val="003F0B75"/>
    <w:rsid w:val="00456C6C"/>
    <w:rsid w:val="004A2521"/>
    <w:rsid w:val="004C2F85"/>
    <w:rsid w:val="004D253B"/>
    <w:rsid w:val="004D7433"/>
    <w:rsid w:val="00502F22"/>
    <w:rsid w:val="005219DA"/>
    <w:rsid w:val="005D0278"/>
    <w:rsid w:val="006319B3"/>
    <w:rsid w:val="00643A83"/>
    <w:rsid w:val="006B6976"/>
    <w:rsid w:val="006D2F2A"/>
    <w:rsid w:val="00762962"/>
    <w:rsid w:val="007C62BB"/>
    <w:rsid w:val="00862930"/>
    <w:rsid w:val="008D09B4"/>
    <w:rsid w:val="008F440B"/>
    <w:rsid w:val="009071A6"/>
    <w:rsid w:val="00921D51"/>
    <w:rsid w:val="00966349"/>
    <w:rsid w:val="009954B8"/>
    <w:rsid w:val="009E00AF"/>
    <w:rsid w:val="009F1E90"/>
    <w:rsid w:val="009F333D"/>
    <w:rsid w:val="00AB0D7E"/>
    <w:rsid w:val="00AB661D"/>
    <w:rsid w:val="00AC5439"/>
    <w:rsid w:val="00AD5909"/>
    <w:rsid w:val="00AE0E9E"/>
    <w:rsid w:val="00AF18C0"/>
    <w:rsid w:val="00B06364"/>
    <w:rsid w:val="00B324E8"/>
    <w:rsid w:val="00B47CED"/>
    <w:rsid w:val="00B63B9D"/>
    <w:rsid w:val="00B659CD"/>
    <w:rsid w:val="00BB3FF4"/>
    <w:rsid w:val="00BC51FB"/>
    <w:rsid w:val="00C17EF1"/>
    <w:rsid w:val="00C419D7"/>
    <w:rsid w:val="00C45CFB"/>
    <w:rsid w:val="00C621E4"/>
    <w:rsid w:val="00C76E22"/>
    <w:rsid w:val="00C92049"/>
    <w:rsid w:val="00CB4304"/>
    <w:rsid w:val="00CC4739"/>
    <w:rsid w:val="00CD342E"/>
    <w:rsid w:val="00CE01C4"/>
    <w:rsid w:val="00D01482"/>
    <w:rsid w:val="00D01640"/>
    <w:rsid w:val="00D1341C"/>
    <w:rsid w:val="00D34591"/>
    <w:rsid w:val="00D36D66"/>
    <w:rsid w:val="00D41D65"/>
    <w:rsid w:val="00D45416"/>
    <w:rsid w:val="00D46E1F"/>
    <w:rsid w:val="00D84374"/>
    <w:rsid w:val="00DA6544"/>
    <w:rsid w:val="00E55AF0"/>
    <w:rsid w:val="00E91D9C"/>
    <w:rsid w:val="00EF0B31"/>
    <w:rsid w:val="00EF558B"/>
    <w:rsid w:val="00F21293"/>
    <w:rsid w:val="00F72BE4"/>
    <w:rsid w:val="00F9763A"/>
    <w:rsid w:val="00FB3569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3B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3BDD"/>
    <w:pPr>
      <w:jc w:val="center"/>
    </w:pPr>
    <w:rPr>
      <w:rFonts w:ascii="Times Roman R" w:hAnsi="Times Roman R"/>
      <w:b/>
      <w:sz w:val="28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3BDD"/>
    <w:rPr>
      <w:rFonts w:ascii="Times Roman R" w:hAnsi="Times Roman R" w:cs="Times New Roman"/>
      <w:b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0F3B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D6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BB3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D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D7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B0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D7E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02F22"/>
    <w:rPr>
      <w:rFonts w:cs="Times New Roman"/>
    </w:rPr>
  </w:style>
  <w:style w:type="character" w:customStyle="1" w:styleId="panchor">
    <w:name w:val="panchor"/>
    <w:basedOn w:val="DefaultParagraphFont"/>
    <w:uiPriority w:val="99"/>
    <w:rsid w:val="00502F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i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1796</Words>
  <Characters>10241</Characters>
  <Application>Microsoft Office Outlook</Application>
  <DocSecurity>0</DocSecurity>
  <Lines>0</Lines>
  <Paragraphs>0</Paragraphs>
  <ScaleCrop>false</ScaleCrop>
  <Company>SNIMVJ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Ă   D E   F U N D A M E N T A R E</dc:title>
  <dc:subject/>
  <dc:creator>Cristina Marinescu</dc:creator>
  <cp:keywords/>
  <dc:description/>
  <cp:lastModifiedBy>imi</cp:lastModifiedBy>
  <cp:revision>2</cp:revision>
  <cp:lastPrinted>2018-01-22T10:40:00Z</cp:lastPrinted>
  <dcterms:created xsi:type="dcterms:W3CDTF">2018-02-21T09:20:00Z</dcterms:created>
  <dcterms:modified xsi:type="dcterms:W3CDTF">2018-02-21T09:20:00Z</dcterms:modified>
</cp:coreProperties>
</file>