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FA" w:rsidRPr="000F13EF" w:rsidRDefault="00B83DFA" w:rsidP="00621A51">
      <w:pPr>
        <w:jc w:val="center"/>
        <w:rPr>
          <w:b/>
          <w:sz w:val="28"/>
          <w:szCs w:val="28"/>
        </w:rPr>
      </w:pPr>
    </w:p>
    <w:p w:rsidR="00B83DFA" w:rsidRPr="000F13EF" w:rsidRDefault="00B83DFA" w:rsidP="00621A51">
      <w:pPr>
        <w:jc w:val="center"/>
        <w:rPr>
          <w:b/>
          <w:sz w:val="28"/>
          <w:szCs w:val="28"/>
        </w:rPr>
      </w:pPr>
    </w:p>
    <w:p w:rsidR="00B83DFA" w:rsidRPr="000F13EF" w:rsidRDefault="00B83DFA" w:rsidP="00621A51">
      <w:pPr>
        <w:jc w:val="center"/>
        <w:rPr>
          <w:b/>
          <w:sz w:val="28"/>
          <w:szCs w:val="28"/>
        </w:rPr>
      </w:pPr>
    </w:p>
    <w:p w:rsidR="00B83DFA" w:rsidRPr="000F13EF" w:rsidRDefault="00B83DFA" w:rsidP="00621A51">
      <w:pPr>
        <w:jc w:val="center"/>
        <w:rPr>
          <w:b/>
          <w:sz w:val="28"/>
          <w:szCs w:val="28"/>
        </w:rPr>
      </w:pPr>
    </w:p>
    <w:p w:rsidR="001337EB" w:rsidRPr="000F13EF" w:rsidRDefault="002400B3" w:rsidP="00621A51">
      <w:pPr>
        <w:jc w:val="center"/>
        <w:rPr>
          <w:b/>
          <w:sz w:val="28"/>
          <w:szCs w:val="28"/>
        </w:rPr>
      </w:pPr>
      <w:r w:rsidRPr="000F13EF">
        <w:rPr>
          <w:b/>
          <w:sz w:val="28"/>
          <w:szCs w:val="28"/>
        </w:rPr>
        <w:t>NOT</w:t>
      </w:r>
      <w:r w:rsidRPr="000F13EF">
        <w:rPr>
          <w:b/>
          <w:sz w:val="28"/>
          <w:szCs w:val="28"/>
          <w:lang w:val="en-US"/>
        </w:rPr>
        <w:t>A DE FUNDAMENTARE</w:t>
      </w:r>
    </w:p>
    <w:p w:rsidR="00B83DFA" w:rsidRPr="000F13EF" w:rsidRDefault="00B83DFA" w:rsidP="00053032">
      <w:pPr>
        <w:rPr>
          <w:b/>
          <w:sz w:val="28"/>
          <w:szCs w:val="28"/>
        </w:rPr>
      </w:pPr>
    </w:p>
    <w:p w:rsidR="00B83DFA" w:rsidRPr="000F13EF" w:rsidRDefault="00B83DFA" w:rsidP="00053032">
      <w:pPr>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1694"/>
        <w:gridCol w:w="193"/>
        <w:gridCol w:w="241"/>
        <w:gridCol w:w="900"/>
        <w:gridCol w:w="900"/>
        <w:gridCol w:w="900"/>
        <w:gridCol w:w="900"/>
        <w:gridCol w:w="900"/>
        <w:gridCol w:w="902"/>
      </w:tblGrid>
      <w:tr w:rsidR="00CE0F29" w:rsidRPr="000F13EF" w:rsidTr="003A1764">
        <w:tc>
          <w:tcPr>
            <w:tcW w:w="10188" w:type="dxa"/>
            <w:gridSpan w:val="10"/>
            <w:shd w:val="clear" w:color="auto" w:fill="auto"/>
          </w:tcPr>
          <w:p w:rsidR="00CE0F29" w:rsidRPr="000F13EF" w:rsidRDefault="00CE0F29" w:rsidP="00CE0F29">
            <w:pPr>
              <w:rPr>
                <w:b/>
                <w:i/>
              </w:rPr>
            </w:pPr>
            <w:r w:rsidRPr="000F13EF">
              <w:rPr>
                <w:b/>
                <w:i/>
              </w:rPr>
              <w:t>S</w:t>
            </w:r>
            <w:r w:rsidR="004A26D1" w:rsidRPr="000F13EF">
              <w:rPr>
                <w:b/>
                <w:i/>
              </w:rPr>
              <w:t>ecţ</w:t>
            </w:r>
            <w:r w:rsidRPr="000F13EF">
              <w:rPr>
                <w:b/>
                <w:i/>
              </w:rPr>
              <w:t xml:space="preserve">iunea 1                                                     </w:t>
            </w:r>
            <w:r w:rsidR="004A26D1" w:rsidRPr="000F13EF">
              <w:rPr>
                <w:b/>
                <w:i/>
              </w:rPr>
              <w:t xml:space="preserve">                               </w:t>
            </w:r>
          </w:p>
          <w:p w:rsidR="00FA2B9C" w:rsidRPr="000F13EF" w:rsidRDefault="00CE0F29" w:rsidP="00FA2B9C">
            <w:pPr>
              <w:rPr>
                <w:b/>
                <w:i/>
              </w:rPr>
            </w:pPr>
            <w:r w:rsidRPr="000F13EF">
              <w:rPr>
                <w:b/>
                <w:i/>
              </w:rPr>
              <w:t>Titlul proiectului de act normativ</w:t>
            </w:r>
          </w:p>
          <w:p w:rsidR="00B83DFA" w:rsidRPr="000F13EF" w:rsidRDefault="002400B3" w:rsidP="00B83DFA">
            <w:pPr>
              <w:rPr>
                <w:b/>
                <w:i/>
                <w:lang w:val="pt-BR"/>
              </w:rPr>
            </w:pPr>
            <w:r w:rsidRPr="000F13EF">
              <w:t>Hotărâre pentru modificarea şi completarea Hotărârii Guvernului nr. 611/2008 pentru aprobarea normelor privind organizarea şi dezvoltarea carierei funcţionarilor publici</w:t>
            </w:r>
          </w:p>
        </w:tc>
      </w:tr>
      <w:tr w:rsidR="00CE0F29" w:rsidRPr="000F13EF" w:rsidTr="003A1764">
        <w:tc>
          <w:tcPr>
            <w:tcW w:w="10188" w:type="dxa"/>
            <w:gridSpan w:val="10"/>
            <w:shd w:val="clear" w:color="auto" w:fill="auto"/>
          </w:tcPr>
          <w:p w:rsidR="004A26D1" w:rsidRPr="000F13EF" w:rsidRDefault="004A26D1" w:rsidP="004A26D1">
            <w:pPr>
              <w:rPr>
                <w:b/>
                <w:i/>
              </w:rPr>
            </w:pPr>
            <w:r w:rsidRPr="000F13EF">
              <w:rPr>
                <w:b/>
                <w:i/>
              </w:rPr>
              <w:t xml:space="preserve">Secţiunea a 2-a                                                                                </w:t>
            </w:r>
          </w:p>
          <w:p w:rsidR="00B83DFA" w:rsidRPr="000F13EF" w:rsidRDefault="004A26D1" w:rsidP="00B83DFA">
            <w:r w:rsidRPr="000F13EF">
              <w:rPr>
                <w:b/>
                <w:i/>
              </w:rPr>
              <w:t>Motivul emiterii actului normativ</w:t>
            </w:r>
            <w:r w:rsidRPr="000F13EF">
              <w:t xml:space="preserve"> </w:t>
            </w:r>
          </w:p>
        </w:tc>
      </w:tr>
      <w:tr w:rsidR="00CE0F29" w:rsidRPr="000F13EF" w:rsidTr="00E77CC1">
        <w:tc>
          <w:tcPr>
            <w:tcW w:w="2658" w:type="dxa"/>
            <w:shd w:val="clear" w:color="auto" w:fill="auto"/>
          </w:tcPr>
          <w:p w:rsidR="00CE0F29" w:rsidRPr="000F13EF" w:rsidRDefault="004A26D1" w:rsidP="00B83DFA">
            <w:r w:rsidRPr="000F13EF">
              <w:t>1. Descrierea situaţiei actuale</w:t>
            </w:r>
          </w:p>
        </w:tc>
        <w:tc>
          <w:tcPr>
            <w:tcW w:w="7530" w:type="dxa"/>
            <w:gridSpan w:val="9"/>
            <w:shd w:val="clear" w:color="auto" w:fill="auto"/>
          </w:tcPr>
          <w:p w:rsidR="00920DB4" w:rsidRPr="000F13EF" w:rsidRDefault="002400B3" w:rsidP="00B83DFA">
            <w:pPr>
              <w:jc w:val="both"/>
            </w:pPr>
            <w:r w:rsidRPr="000F13EF">
              <w:t>Hotărârea Guvernului nr. 611/2008 pentru aprobarea normelor privind organizarea şi dezvoltarea carierei funcţionarilor publici a fost adoptată în aplicarea Legii nr. 188/1999 privind Statutul funcționarilor publici și are ca obiect de reglementare organizarea şi dezvoltarea carierei funcţionarilor publici.</w:t>
            </w:r>
          </w:p>
          <w:p w:rsidR="004A347E" w:rsidRPr="000F13EF" w:rsidRDefault="002400B3" w:rsidP="00B83DFA">
            <w:pPr>
              <w:spacing w:before="120"/>
              <w:jc w:val="both"/>
            </w:pPr>
            <w:r w:rsidRPr="000F13EF">
              <w:t xml:space="preserve">În sensul </w:t>
            </w:r>
            <w:r w:rsidR="004A347E" w:rsidRPr="000F13EF">
              <w:t>hotărârii Guvernului anterior menționată</w:t>
            </w:r>
            <w:r w:rsidRPr="000F13EF">
              <w:t>, cariera în funcţia publică cuprinde ansamblul situaţiilor juridice şi efectele produse, care intervin de la data naşterii raportului de serviciu al funcţionarului public până în momentul încetării acestui raport, în condiţiile legii.</w:t>
            </w:r>
            <w:r w:rsidR="004A347E" w:rsidRPr="000F13EF">
              <w:t xml:space="preserve"> În rândul dispozițiilor asociate organizării carierei, se regăsesc reglementate și organizarea și desfășurarea de concursuri pentru ocuparea diferitelor categorii de funcții publice, în speță </w:t>
            </w:r>
            <w:r w:rsidR="00DC1824" w:rsidRPr="000F13EF">
              <w:t xml:space="preserve">inclusiv </w:t>
            </w:r>
            <w:r w:rsidR="004A347E" w:rsidRPr="000F13EF">
              <w:t>reguli privind:</w:t>
            </w:r>
          </w:p>
          <w:p w:rsidR="00043460" w:rsidRPr="000F13EF" w:rsidRDefault="003E4914" w:rsidP="00B83DFA">
            <w:pPr>
              <w:spacing w:before="120"/>
              <w:jc w:val="both"/>
            </w:pPr>
            <w:r w:rsidRPr="000F13EF">
              <w:t xml:space="preserve">- </w:t>
            </w:r>
            <w:r w:rsidR="004A347E" w:rsidRPr="000F13EF">
              <w:t>locul desfășurării concursului</w:t>
            </w:r>
            <w:r w:rsidR="00043460" w:rsidRPr="000F13EF">
              <w:t>, reprezentat de sediul autorității sau instituției organizatoare a concursului</w:t>
            </w:r>
            <w:r w:rsidR="00702D2D" w:rsidRPr="000F13EF">
              <w:t>, și competențele privind organizarea</w:t>
            </w:r>
            <w:r w:rsidR="00043460" w:rsidRPr="000F13EF">
              <w:t>;</w:t>
            </w:r>
          </w:p>
          <w:p w:rsidR="003E4914" w:rsidRPr="000F13EF" w:rsidRDefault="003E4914" w:rsidP="00B83DFA">
            <w:pPr>
              <w:spacing w:before="120"/>
              <w:jc w:val="both"/>
            </w:pPr>
            <w:r w:rsidRPr="000F13EF">
              <w:t>- elementele obligatorii din bibliografia stabilită în cadrul concursurilor pentru ocuparea funcțiilor publice, respectiv Legea nr. 188/1999 privind Statutul funcționarilor publici și Legea nr. 7/2004 privind Codul de conduită a funcționarilor publici;</w:t>
            </w:r>
          </w:p>
          <w:p w:rsidR="00043460" w:rsidRPr="000F13EF" w:rsidRDefault="00043460" w:rsidP="00B83DFA">
            <w:pPr>
              <w:spacing w:before="120"/>
              <w:jc w:val="both"/>
            </w:pPr>
            <w:r w:rsidRPr="000F13EF">
              <w:t>- constituirea comisiilor de concurs și a comisiilor de soluționare a contestațiilor, respectiv desemnarea membrilor și a secret</w:t>
            </w:r>
            <w:r w:rsidR="009D39D4" w:rsidRPr="000F13EF">
              <w:t>arilor acestor comisii</w:t>
            </w:r>
            <w:r w:rsidR="00702D2D" w:rsidRPr="000F13EF">
              <w:t xml:space="preserve"> și modalitatea de îndeplinire de către aceștia a sarcinilor/atribuțiilor specifice</w:t>
            </w:r>
            <w:r w:rsidR="003E4914" w:rsidRPr="000F13EF">
              <w:t>, precum și remunerarea pentru activitățile desfășurate</w:t>
            </w:r>
            <w:r w:rsidR="009D39D4" w:rsidRPr="000F13EF">
              <w:t>;</w:t>
            </w:r>
          </w:p>
          <w:p w:rsidR="003E4914" w:rsidRPr="000F13EF" w:rsidRDefault="009D39D4" w:rsidP="00B83DFA">
            <w:pPr>
              <w:spacing w:before="120"/>
              <w:jc w:val="both"/>
            </w:pPr>
            <w:r w:rsidRPr="000F13EF">
              <w:t xml:space="preserve">- </w:t>
            </w:r>
            <w:r w:rsidR="003E4914" w:rsidRPr="000F13EF">
              <w:t>aspecte generale și specifice în legătură cu publicitatea concursurilor (</w:t>
            </w:r>
            <w:r w:rsidRPr="000F13EF">
              <w:t xml:space="preserve">aducerea la cunoștința </w:t>
            </w:r>
            <w:r w:rsidR="00702D2D" w:rsidRPr="000F13EF">
              <w:t>persoanelor interesate</w:t>
            </w:r>
            <w:r w:rsidRPr="000F13EF">
              <w:t xml:space="preserve"> a </w:t>
            </w:r>
            <w:r w:rsidR="00702D2D" w:rsidRPr="000F13EF">
              <w:t>informațiilor despre post/funcție, despre depunerea candidaturilor și despre desfășurarea concursului</w:t>
            </w:r>
            <w:r w:rsidR="003E4914" w:rsidRPr="000F13EF">
              <w:t>) și depunerea candidaturilor</w:t>
            </w:r>
            <w:r w:rsidR="00702D2D" w:rsidRPr="000F13EF">
              <w:t xml:space="preserve">,  precum și </w:t>
            </w:r>
            <w:r w:rsidR="003E4914" w:rsidRPr="000F13EF">
              <w:t>în legătură cu aducerea la cunoștința persoanelor interesate a</w:t>
            </w:r>
            <w:r w:rsidR="00702D2D" w:rsidRPr="000F13EF">
              <w:t xml:space="preserve"> </w:t>
            </w:r>
            <w:r w:rsidRPr="000F13EF">
              <w:t xml:space="preserve">rezultatelor obținute </w:t>
            </w:r>
            <w:r w:rsidR="00702D2D" w:rsidRPr="000F13EF">
              <w:t xml:space="preserve">de candidați </w:t>
            </w:r>
            <w:r w:rsidRPr="000F13EF">
              <w:t>la probele concursurilo</w:t>
            </w:r>
            <w:r w:rsidR="00702D2D" w:rsidRPr="000F13EF">
              <w:t>r la care aceștia au participat;</w:t>
            </w:r>
          </w:p>
          <w:p w:rsidR="009D39D4" w:rsidRPr="000F13EF" w:rsidRDefault="003E4914" w:rsidP="00B83DFA">
            <w:pPr>
              <w:spacing w:before="120"/>
              <w:jc w:val="both"/>
            </w:pPr>
            <w:r w:rsidRPr="000F13EF">
              <w:t xml:space="preserve">- </w:t>
            </w:r>
            <w:r w:rsidR="00702D2D" w:rsidRPr="000F13EF">
              <w:t xml:space="preserve"> </w:t>
            </w:r>
            <w:r w:rsidRPr="000F13EF">
              <w:t>aspecte specifice în legătură cu desfășurarea fiecăreia dintre probele de concurs</w:t>
            </w:r>
            <w:r w:rsidR="00B55850" w:rsidRPr="000F13EF">
              <w:t xml:space="preserve"> și, la finalul concursului, în legătură cu numirea candidaților declarați admiși</w:t>
            </w:r>
            <w:r w:rsidRPr="000F13EF">
              <w:t>;</w:t>
            </w:r>
          </w:p>
          <w:p w:rsidR="003E4914" w:rsidRPr="000F13EF" w:rsidRDefault="003E4914" w:rsidP="00B83DFA">
            <w:pPr>
              <w:spacing w:before="120"/>
              <w:jc w:val="both"/>
            </w:pPr>
            <w:r w:rsidRPr="000F13EF">
              <w:t>- modificarea raporturilor de serviciu ale funcționarului public debutant pe parcursul perioadei de stagiu;</w:t>
            </w:r>
          </w:p>
          <w:p w:rsidR="003E4914" w:rsidRPr="000F13EF" w:rsidRDefault="003E4914" w:rsidP="00B83DFA">
            <w:pPr>
              <w:spacing w:before="120"/>
              <w:jc w:val="both"/>
            </w:pPr>
            <w:r w:rsidRPr="000F13EF">
              <w:t xml:space="preserve">- aspecte generale și specifice cu referire la evaluarea performanțelor profesionale individuale ale funcționarilor publici și promovarea în funcția </w:t>
            </w:r>
            <w:r w:rsidRPr="000F13EF">
              <w:lastRenderedPageBreak/>
              <w:t>publică;</w:t>
            </w:r>
          </w:p>
          <w:p w:rsidR="003E4914" w:rsidRPr="000F13EF" w:rsidRDefault="003E4914" w:rsidP="00B83DFA">
            <w:pPr>
              <w:spacing w:before="120"/>
              <w:jc w:val="both"/>
            </w:pPr>
            <w:r w:rsidRPr="000F13EF">
              <w:t xml:space="preserve">- aspecte administrative cu privire la calculul și încadrarea în termenele </w:t>
            </w:r>
            <w:r w:rsidR="00253E5E" w:rsidRPr="000F13EF">
              <w:t xml:space="preserve">procedurale precum și o serie de formulare standard utilizabile în cadrul managementului funcțiilor și funcționarilor publici din cadrul autorităților și instituțiilor publice. </w:t>
            </w:r>
            <w:r w:rsidRPr="000F13EF">
              <w:t xml:space="preserve">  </w:t>
            </w:r>
          </w:p>
          <w:p w:rsidR="005348D8" w:rsidRPr="000F13EF" w:rsidRDefault="00107A49" w:rsidP="00B83DFA">
            <w:pPr>
              <w:spacing w:before="120"/>
              <w:jc w:val="both"/>
            </w:pPr>
            <w:r w:rsidRPr="000F13EF">
              <w:t>În ceea ce privește locul desfășurării concursului, experiențele de până în prezent, cel puțin ale Agenției Naționale a Funcționarilor Publici, în calitate de instituție organizatoare a concursurilor pentru ocuparea funcţiilor publice de conducere din cadrul autorităţilor şi instituţiilor publice centrale și, respectiv, pentru funcţiile publice de conducere din domeniile protecţia copilului, evidenţa informatizată a persoanei, audit public intern, financiar-contabilitate, urbanism şi arhitectură, resurse umane, integrare europeană, pentru secretarii unităţilor administrativ-teritoriale, precum şi pentru funcţiile publice de execuţie din domeniul auditului public intern, din cadrul autorităţilor şi instituţiilor publice din administraţia publică locală, au demonstrat că limitarea posibilității de organizare a acestor concursuri strict la sediul instituției este o opțiune ce nu ia neapărat în calcul resursele materiale limitate ale Agenției (spații, consumabile, etc.)</w:t>
            </w:r>
            <w:r w:rsidR="009D39D4" w:rsidRPr="000F13EF">
              <w:t xml:space="preserve"> și</w:t>
            </w:r>
            <w:r w:rsidRPr="000F13EF">
              <w:t xml:space="preserve"> </w:t>
            </w:r>
            <w:r w:rsidR="009D39D4" w:rsidRPr="000F13EF">
              <w:t xml:space="preserve">este </w:t>
            </w:r>
            <w:r w:rsidRPr="000F13EF">
              <w:t xml:space="preserve">costisitoare </w:t>
            </w:r>
            <w:r w:rsidR="00EB20A4" w:rsidRPr="000F13EF">
              <w:t>î</w:t>
            </w:r>
            <w:r w:rsidR="009D39D4" w:rsidRPr="000F13EF">
              <w:t xml:space="preserve">n special </w:t>
            </w:r>
            <w:r w:rsidRPr="000F13EF">
              <w:t xml:space="preserve">pentru </w:t>
            </w:r>
            <w:r w:rsidR="009D39D4" w:rsidRPr="000F13EF">
              <w:t>participanții (membri, candidați)</w:t>
            </w:r>
            <w:r w:rsidRPr="000F13EF">
              <w:t xml:space="preserve"> </w:t>
            </w:r>
            <w:r w:rsidR="009D39D4" w:rsidRPr="000F13EF">
              <w:t>care se deplasează din teritoriu pentru parcurgerea fiecăreia dintre probele de concurs (inclusiv soluționarea contestațiilor, atunci când este cazul).</w:t>
            </w:r>
          </w:p>
          <w:p w:rsidR="007C650F" w:rsidRPr="000F13EF" w:rsidRDefault="007C650F" w:rsidP="00B83DFA">
            <w:pPr>
              <w:spacing w:before="120"/>
              <w:jc w:val="both"/>
            </w:pPr>
            <w:r w:rsidRPr="000F13EF">
              <w:t xml:space="preserve">În ceea ce privește stabilirea bibliografiei de concurs, în prezent aceasta poate cuprinde acte normative, lucrări, articole de specialitate sau surse de informare şi documentare expres indicate, cu relevanţă pentru funcţia publică vacantă pentru care se organizează concursul, însă va cuprinde obligatoriu Legea nr. 188/1999 privind Statutul funcționarilor publici și Legea nr. 7/2004 privind Codul de conduită a funcționarilor publici. </w:t>
            </w:r>
          </w:p>
          <w:p w:rsidR="00723D38" w:rsidRPr="000F13EF" w:rsidRDefault="009D39D4" w:rsidP="00B83DFA">
            <w:pPr>
              <w:spacing w:before="120"/>
              <w:jc w:val="both"/>
            </w:pPr>
            <w:r w:rsidRPr="000F13EF">
              <w:t xml:space="preserve">În ceea ce privește </w:t>
            </w:r>
            <w:r w:rsidR="00723D38" w:rsidRPr="000F13EF">
              <w:t>constituirea comisiilor de concurs și a comisiilor de soluționare a contestațiilor, respectiv desemnarea membrilor și a secretarilor acestor comisii și modalitatea de îndeplinire de către aceștia a sarcinilor/atribuțiilor specifice, precum și remunerarea acestora pentru activitățile desfășurate</w:t>
            </w:r>
            <w:r w:rsidRPr="000F13EF">
              <w:t>, regulile actuale dispun că</w:t>
            </w:r>
            <w:r w:rsidR="00723D38" w:rsidRPr="000F13EF">
              <w:t>:</w:t>
            </w:r>
          </w:p>
          <w:p w:rsidR="008B7E38" w:rsidRPr="000F13EF" w:rsidRDefault="008B7E38" w:rsidP="00723D38">
            <w:pPr>
              <w:spacing w:before="120"/>
              <w:ind w:left="319"/>
              <w:jc w:val="both"/>
            </w:pPr>
            <w:r w:rsidRPr="000F13EF">
              <w:t>- În situaţia în care în cadrul unei autorităţi sau instituţii publice constituirea comisiei de concurs şi a comisiei de soluţionare a contestaţiilor nu se poate realiza cu respectarea prevederilor legale din cauza numărului mic de funcţionari publici, pot fi desemnaţi membri din cadrul altor autorităţi sau instituţii publice, la solicitarea autorităţii sau instituţiei publice în al cărei stat de funcţii se află funcţia publică vacantă pentru care se organizează concursul. În practică, aplicarea acestei prevederi a generat și ea o serie de disfuncționalități, în special în ceea ce privește gestionarea situațiilor de suprapuneri de sarcini de serviciu la nivelul instituțiilor destinatare ale solicitărilor și, în consecință, de imposibilitate de îndepli</w:t>
            </w:r>
            <w:r w:rsidR="00EB20A4" w:rsidRPr="000F13EF">
              <w:t xml:space="preserve">nire a cerințelor de întrunire </w:t>
            </w:r>
            <w:r w:rsidRPr="000F13EF">
              <w:t>a comisiilor pentru parcurgerea etapelor concursurilor, în perioadele stabilite.</w:t>
            </w:r>
          </w:p>
          <w:p w:rsidR="00077B17" w:rsidRPr="000F13EF" w:rsidRDefault="008B7E38" w:rsidP="00723D38">
            <w:pPr>
              <w:spacing w:before="120"/>
              <w:ind w:left="319"/>
              <w:jc w:val="both"/>
            </w:pPr>
            <w:r w:rsidRPr="000F13EF">
              <w:t>- În cazul în care se testează abilităţi sau competenţe specifice în domeniul tehnologiei informaţiei, limbi străine, limba minorităţilor naţionale ori alte competenţe specifice, cel puţin un membru trebuie să aibă cunoştinţe sau experienţă în aceste domenii</w:t>
            </w:r>
            <w:r w:rsidR="00077B17" w:rsidRPr="000F13EF">
              <w:t>,</w:t>
            </w:r>
            <w:r w:rsidRPr="000F13EF">
              <w:t xml:space="preserve"> </w:t>
            </w:r>
            <w:r w:rsidR="00077B17" w:rsidRPr="000F13EF">
              <w:t>c</w:t>
            </w:r>
            <w:r w:rsidRPr="000F13EF">
              <w:t xml:space="preserve">omisia de concurs sau comisia de soluţionare a contestaţiilor poate beneficia de consilierea </w:t>
            </w:r>
            <w:r w:rsidRPr="000F13EF">
              <w:lastRenderedPageBreak/>
              <w:t>unor experţi în domeniul respectiv</w:t>
            </w:r>
            <w:r w:rsidR="00077B17" w:rsidRPr="000F13EF">
              <w:t>. Modalitatea de formulare a textului, chiar dacă prin interpretare, conduce la organizarea și desfășurarea unor probe suplimentare, în condițiile în care există posibilitatea ca persoanele interesate să poată dovedi cu documente oficiale deținerea abilităților sau competențelor specifice menționate.</w:t>
            </w:r>
          </w:p>
          <w:p w:rsidR="00077B17" w:rsidRPr="000F13EF" w:rsidRDefault="00077B17" w:rsidP="00077B17">
            <w:pPr>
              <w:spacing w:before="120"/>
              <w:ind w:left="319"/>
              <w:jc w:val="both"/>
            </w:pPr>
            <w:r w:rsidRPr="000F13EF">
              <w:t xml:space="preserve">- Cu referire la modalitatea de îndeplinire de către membri comisiilor de concurs și cei ai comisiilor de soluționare a contestațiilor a sarcinilor/atribuțiilor specifice, prevederile actuale stabilesc reguli asociate răspunderii individuale a fiecăreia dintre persoanele desemnate. Cu toate acestea, comisia în sine, ca și organ colegial, acționează doar în condițiile unor decizii unanime ale membrilor componenți. De asemenea, modalitatea de îndeplinire de către secretar a sarcinilor/atribuțiilor proprii necesită actualizare cel puțin prin integrarea posibilităților de comunicare electronică și a compatibilizării activității cu noile standarde în materie de simplificare administrativă (spre exemplu, conform OUG nr. 41/2016 privind stabilirea unor măsuri de simplificare la nivelul administraţiei publice centrale şi pentru modificarea şi completarea unor acte normative, </w:t>
            </w:r>
            <w:r w:rsidR="00326CD8" w:rsidRPr="000F13EF">
              <w:t xml:space="preserve">cu modificările ulterioare, </w:t>
            </w:r>
            <w:r w:rsidRPr="000F13EF">
              <w:t>”instituţiile publice şi organele de specialitate ale administraţiei publice centrale care solicită copia în format fizic pe hârtie după actul de identitate drept condiţie pentru furnizarea unui serviciu public sunt obligate să accepte copia în format electronic după cartea de identitate, transmisă prin e-mail” la o adresă dedicată, publicată anterior; tot cu titlu de exemplu, conform aceluiași act normativ, ”datele cu caracter personal necesare pentru furnizarea unui serviciu public, care sunt colectate, deţinute sau gestionate de o altă autoritate sau instituţie publică, se iau direct de la respectiva autoritate sau instituţie dacă acest lucru a fost solicitat expres de beneficiarul serviciului public sau dacă există consimţământul expres al acestuia”).</w:t>
            </w:r>
            <w:r w:rsidR="00CB2F56" w:rsidRPr="000F13EF">
              <w:t xml:space="preserve"> În aceste condiții candidații, care sunt beneficiari direcți ai serviciului public prestat de organizatorii concursurilor, sunt </w:t>
            </w:r>
            <w:r w:rsidR="00BC7B12" w:rsidRPr="000F13EF">
              <w:t>categoria de persoane cel mai mult afectată.</w:t>
            </w:r>
          </w:p>
          <w:p w:rsidR="00077B17" w:rsidRPr="000F13EF" w:rsidRDefault="00077B17" w:rsidP="00077B17">
            <w:pPr>
              <w:spacing w:before="120"/>
              <w:ind w:left="319"/>
              <w:jc w:val="both"/>
            </w:pPr>
            <w:r w:rsidRPr="000F13EF">
              <w:t xml:space="preserve">- Pentru participarea la lucrările comisiei de concurs, precum şi la cele ale comisiei de soluţionare a contestaţiilor, atât membrii acestora cât și persoanele care asigură secretariatul </w:t>
            </w:r>
            <w:r w:rsidR="00390D79" w:rsidRPr="000F13EF">
              <w:t>”</w:t>
            </w:r>
            <w:r w:rsidRPr="000F13EF">
              <w:t>au dreptul la o indemnizaţie reprezentând 1% din salariul de bază, stabilit conform legii</w:t>
            </w:r>
            <w:r w:rsidR="00390D79" w:rsidRPr="000F13EF">
              <w:t>”</w:t>
            </w:r>
            <w:r w:rsidRPr="000F13EF">
              <w:t>.</w:t>
            </w:r>
            <w:r w:rsidR="00390D79" w:rsidRPr="000F13EF">
              <w:t xml:space="preserve"> În practică, raportarea la salariul de bază a condus la crearea unor inechități, în cadrul aceleiași comisii persoane </w:t>
            </w:r>
            <w:r w:rsidR="00AA1669" w:rsidRPr="000F13EF">
              <w:t xml:space="preserve">care </w:t>
            </w:r>
            <w:r w:rsidR="00390D79" w:rsidRPr="000F13EF">
              <w:t>desfăș</w:t>
            </w:r>
            <w:r w:rsidR="00AA1669" w:rsidRPr="000F13EF">
              <w:t>oară</w:t>
            </w:r>
            <w:r w:rsidR="00390D79" w:rsidRPr="000F13EF">
              <w:t xml:space="preserve"> activitate similară și a</w:t>
            </w:r>
            <w:r w:rsidR="00AA1669" w:rsidRPr="000F13EF">
              <w:t>u</w:t>
            </w:r>
            <w:r w:rsidR="00390D79" w:rsidRPr="000F13EF">
              <w:t xml:space="preserve"> responsabilități similare ajungând să fie remunerate diferit.</w:t>
            </w:r>
          </w:p>
          <w:p w:rsidR="0021384E" w:rsidRPr="000F13EF" w:rsidRDefault="0075491D" w:rsidP="00B83DFA">
            <w:pPr>
              <w:spacing w:before="120"/>
              <w:jc w:val="both"/>
            </w:pPr>
            <w:r w:rsidRPr="000F13EF">
              <w:t xml:space="preserve">În ceea ce privește </w:t>
            </w:r>
            <w:r w:rsidR="0021384E" w:rsidRPr="000F13EF">
              <w:t xml:space="preserve">comunicarea de informații </w:t>
            </w:r>
            <w:r w:rsidRPr="000F13EF">
              <w:t>despre post/funcție, despre depunerea candidaturilor și despre desfășurarea concursului</w:t>
            </w:r>
            <w:r w:rsidR="0021384E" w:rsidRPr="000F13EF">
              <w:t xml:space="preserve">, regulile </w:t>
            </w:r>
            <w:r w:rsidR="00077B17" w:rsidRPr="000F13EF">
              <w:t>curente</w:t>
            </w:r>
            <w:r w:rsidR="0021384E" w:rsidRPr="000F13EF">
              <w:t xml:space="preserve"> stabilesc clar și detaliat aspecte specifice comunicării interinstituționale, </w:t>
            </w:r>
            <w:r w:rsidR="00077B17" w:rsidRPr="000F13EF">
              <w:t xml:space="preserve">însă sunt destul de limitate în ceea ce privește </w:t>
            </w:r>
            <w:r w:rsidR="0021384E" w:rsidRPr="000F13EF">
              <w:t>aspecte</w:t>
            </w:r>
            <w:r w:rsidR="00077B17" w:rsidRPr="000F13EF">
              <w:t>le</w:t>
            </w:r>
            <w:r w:rsidR="0021384E" w:rsidRPr="000F13EF">
              <w:t xml:space="preserve"> specifice asigurării publicității concursului. Despre aceasta din urmă, spre exemplu, textul normativ se limitează la a indica, la art. 39, faptul că, ”cu cel puţin 30 de zile înainte de data stabilită pentru proba scrisă, condiţiile de participare şi condiţiile de desfăşurare a concursului, bibliografia, tematica şi alte date necesare desfăşurării concursului se afişează la sediul autorităţii sau instituţiei publice organizatoare a concursului”, iar ”în situaţia în care autorităţile sau instituţiile publice consideră necesar, pot asigura publicarea anunţului şi prin alte forme de publicitate suplimentare”. </w:t>
            </w:r>
            <w:r w:rsidRPr="000F13EF">
              <w:t xml:space="preserve"> </w:t>
            </w:r>
          </w:p>
          <w:p w:rsidR="006459B4" w:rsidRPr="000F13EF" w:rsidRDefault="006459B4" w:rsidP="00DC1824">
            <w:pPr>
              <w:spacing w:before="120"/>
              <w:jc w:val="both"/>
            </w:pPr>
            <w:r w:rsidRPr="000F13EF">
              <w:lastRenderedPageBreak/>
              <w:t>În ceea ce privește aducerea la cunoștința candidaților a rezultatelor obținute la probele concursurilor la care aceștia au participat, art. 50 din forma actuală a hotărârii dispune că ”rezultatele selectării dosarelor de înscriere se afişează de către secretarul comisiei de concurs, cu menţiunea "admis" sau "respins", însoţită de motivul respingerii dosarului, la sediul autorităţii ori instituţiei publice organizatoare a concursului”</w:t>
            </w:r>
            <w:r w:rsidR="00C04DEA" w:rsidRPr="000F13EF">
              <w:t>. O dispoziție similară există și pentru aducerea la cunoștință a rezultatelor obținute la proba scrisă și proba interviului, iar în prezent formularul de înscriere ”se pune la dispoziție candidaților prin secretarul comisiei de concurs”. Corelat cu cele menționate cu referire la limitarea posibilității de organizare a concursurilor strict la sediul instituției, precum și în condițiile în care, cel puțin în ultima perioadă, există un interes crescut al mass-media cu privire la aceste categorii de informații, limitarea posibilității de afișare strict în format letric, la sediul instituției, s-a dovedit a fi neadaptată la nevoile tuturor părților interesate.</w:t>
            </w:r>
            <w:r w:rsidR="00DC1824" w:rsidRPr="000F13EF">
              <w:t xml:space="preserve">  </w:t>
            </w:r>
            <w:r w:rsidR="00C04DEA" w:rsidRPr="000F13EF">
              <w:t xml:space="preserve"> </w:t>
            </w:r>
          </w:p>
          <w:p w:rsidR="008B4369" w:rsidRPr="000F13EF" w:rsidRDefault="00DC1824" w:rsidP="007F1922">
            <w:pPr>
              <w:spacing w:before="120"/>
              <w:jc w:val="both"/>
            </w:pPr>
            <w:r w:rsidRPr="000F13EF">
              <w:t xml:space="preserve">Cu referire la aspectele specifice în legătură cu desfășurarea probelor de concurs, proba suplimentară ce poate fi organizată și desfășurată pentru evaluarea îndeplinirii unor condiții specifice s-a dovedit, pe baza petițiilor și sesizărilor primite, insuficient detaliată în reglementare, solicitarea originalelor adeverințelor care atestă vechimea și </w:t>
            </w:r>
            <w:r w:rsidR="007F1922" w:rsidRPr="000F13EF">
              <w:t xml:space="preserve">starea de sănătate s-a dovedit generatoare de costuri suplimentare nejustificate atât pentru candidați (care, pentru fiecare concurs, fie necesită o adeverință nouă, fie trebuie să facă efortul recuperării documentelor depuse) cât și pentru instituțiile organizatoare (care trebuie să răspundă solicitărilor de recuperare a documentelor originale depuse la dosarele de concurs, atunci când este cazul, de preferință în timp util candidatului și nu neapărat în termenul maxim prevăzut de lege pentru răspunsul la petiții). Tot în ceea ce privește constituirea dosarelor de concurs, regulile curente </w:t>
            </w:r>
            <w:r w:rsidR="00CB2F56" w:rsidRPr="000F13EF">
              <w:t>necesită</w:t>
            </w:r>
            <w:r w:rsidR="007F1922" w:rsidRPr="000F13EF">
              <w:t xml:space="preserve"> actualiza</w:t>
            </w:r>
            <w:r w:rsidR="00CB2F56" w:rsidRPr="000F13EF">
              <w:t>r</w:t>
            </w:r>
            <w:r w:rsidR="007F1922" w:rsidRPr="000F13EF">
              <w:t>e conform OUG nr. 41/2016 privind stabilirea unor măsuri de simplificare la nivelul administraţiei publice centrale şi pentru modificarea şi completarea unor acte normative</w:t>
            </w:r>
            <w:r w:rsidR="00326CD8" w:rsidRPr="000F13EF">
              <w:t>, cu modificările ulterioare</w:t>
            </w:r>
            <w:r w:rsidR="007F1922" w:rsidRPr="000F13EF">
              <w:t xml:space="preserve">. </w:t>
            </w:r>
            <w:r w:rsidR="00CB2F56" w:rsidRPr="000F13EF">
              <w:t>În ceea ce privește</w:t>
            </w:r>
            <w:r w:rsidR="007F1922" w:rsidRPr="000F13EF">
              <w:t xml:space="preserve"> proba scrisă, practica Agenției Naționale a Funcționarilor Publici cu privire la organizarea și desfășurarea concursurilor din competența sa, conform căreia subiectele pe domeniul funcției publice sunt extrase automat și aleatoriu dintr-o bază de date cu subiecte publicate pe pagina de internet a Agenției, a fost apreciată pozitiv </w:t>
            </w:r>
            <w:r w:rsidR="00CB2F56" w:rsidRPr="000F13EF">
              <w:t xml:space="preserve">de candidați, dar și </w:t>
            </w:r>
            <w:r w:rsidR="007F1922" w:rsidRPr="000F13EF">
              <w:t>de instituții, care au solicitat</w:t>
            </w:r>
            <w:r w:rsidR="008535AA" w:rsidRPr="000F13EF">
              <w:t xml:space="preserve"> expres </w:t>
            </w:r>
            <w:r w:rsidR="00CB2F56" w:rsidRPr="000F13EF">
              <w:t>crearea unui</w:t>
            </w:r>
            <w:r w:rsidR="008535AA" w:rsidRPr="000F13EF">
              <w:t xml:space="preserve"> temei legal care să permită multiplicarea modelului.</w:t>
            </w:r>
            <w:r w:rsidR="00FA6636" w:rsidRPr="000F13EF">
              <w:t xml:space="preserve"> Iar în ceea ce privește</w:t>
            </w:r>
            <w:r w:rsidR="007F1922" w:rsidRPr="000F13EF">
              <w:t xml:space="preserve"> </w:t>
            </w:r>
            <w:r w:rsidR="00FA6636" w:rsidRPr="000F13EF">
              <w:t>finalizarea procedurilor prin numirea candidatului declarat admis, prevederile actuale dispun că propunerea de numire se emite în termen de 15 zile iar actul administrativ de numire, în termen de cel mult 10 zile lucrătoare de la data comunicării propunerii de numire, neexistând nici un detaliu cu privire la situația în care persoana vizată</w:t>
            </w:r>
            <w:r w:rsidR="008B4369" w:rsidRPr="000F13EF">
              <w:t xml:space="preserve"> nu se prezintă în vederea numirii, la data stabilită.</w:t>
            </w:r>
          </w:p>
          <w:p w:rsidR="00AA1669" w:rsidRPr="000F13EF" w:rsidRDefault="00AA1669" w:rsidP="007F1922">
            <w:pPr>
              <w:spacing w:before="120"/>
              <w:jc w:val="both"/>
            </w:pPr>
            <w:r w:rsidRPr="000F13EF">
              <w:t>Tot în legătură cu desfășurarea probelor de concurs, pentru situațiile în care, din motive obiective, nu se pot respecta data şi ora desfăşurării concursului</w:t>
            </w:r>
            <w:r w:rsidR="00AC7A34" w:rsidRPr="000F13EF">
              <w:t>,</w:t>
            </w:r>
            <w:r w:rsidRPr="000F13EF">
              <w:t xml:space="preserve"> prevederile în vigoare dispun </w:t>
            </w:r>
            <w:r w:rsidR="000E793D" w:rsidRPr="000F13EF">
              <w:t>cu privire la</w:t>
            </w:r>
            <w:r w:rsidRPr="000F13EF">
              <w:t xml:space="preserve"> posibilitatea ”amânării concursului” sau, după caz, </w:t>
            </w:r>
            <w:r w:rsidR="000E793D" w:rsidRPr="000F13EF">
              <w:t xml:space="preserve">la </w:t>
            </w:r>
            <w:r w:rsidR="00AC7A34" w:rsidRPr="000F13EF">
              <w:t xml:space="preserve">”reluarea procedurii de organizare şi desfăşurare” </w:t>
            </w:r>
            <w:r w:rsidRPr="000F13EF">
              <w:t>dacă perioada depășește 15 zile calendaristice.</w:t>
            </w:r>
          </w:p>
          <w:p w:rsidR="007F1922" w:rsidRPr="000F13EF" w:rsidRDefault="008B4369" w:rsidP="00F94620">
            <w:pPr>
              <w:spacing w:before="120"/>
              <w:jc w:val="both"/>
            </w:pPr>
            <w:r w:rsidRPr="000F13EF">
              <w:t xml:space="preserve">Modificarea raporturilor de serviciu ale funcționarului public debutant pe parcursul perioadei de stagiu poate avea loc, în prezent, doar </w:t>
            </w:r>
            <w:r w:rsidR="00F94620" w:rsidRPr="000F13EF">
              <w:t>”</w:t>
            </w:r>
            <w:r w:rsidRPr="000F13EF">
              <w:t xml:space="preserve">prin transfer </w:t>
            </w:r>
            <w:r w:rsidRPr="000F13EF">
              <w:lastRenderedPageBreak/>
              <w:t>în interes public sau prin mutare în cadrul altui compartiment ori altei structuri fără personalitate juridică a autorităţii sau instituţiei publice</w:t>
            </w:r>
            <w:r w:rsidR="00F94620" w:rsidRPr="000F13EF">
              <w:t>”</w:t>
            </w:r>
            <w:r w:rsidRPr="000F13EF">
              <w:t xml:space="preserve">. </w:t>
            </w:r>
            <w:r w:rsidR="00F94620" w:rsidRPr="000F13EF">
              <w:t>Cum în anul 2010 a fost eliminat din Legea nr. 188/1999 transferul în interesul serviciului, norma indicată necesită actualizare, de principiu pornind de la ceea ce tot legislația primară dispune cu privire la perioada de stagiu –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rsidR="00F94620" w:rsidRPr="000F13EF" w:rsidRDefault="00F94620" w:rsidP="00F94620">
            <w:pPr>
              <w:spacing w:before="120"/>
              <w:jc w:val="both"/>
            </w:pPr>
            <w:r w:rsidRPr="000F13EF">
              <w:t>În ceea ce privește evaluarea performanțelor profesionale individuale ale funcționarilor publici, art. 107 alin. (2) dispune cu privire la persoanele care pot avea calitatea de evaluator, însă dispozițiile respective au la bază strict poziționarea funcțiilor în ierarhia instituțională/în structura organizatorică și, respectiv, apartenența la categoria funcțiilor de conducere (funcționari publici de conducere, înalți funcționari publici, primari, conducători ai autorităților sau instituțiilor publice). Or, în practică există și situații în care, spre exemplu, în cadrul structurilor conduse de funcționari publici de conducere se organizează și funcționează compartimente</w:t>
            </w:r>
            <w:r w:rsidR="00B223EB" w:rsidRPr="000F13EF">
              <w:t>, sau în cadrul instituției se constituie echipe interdepartamentale cu scop determinat, atribuții prestabilite și funcționare pe perioade determinată, persoanele care își desfășoară activitatea în aceste structuri nefiind în mod obligatoriu coordonate de funcționari de conducere.</w:t>
            </w:r>
            <w:r w:rsidRPr="000F13EF">
              <w:t xml:space="preserve"> </w:t>
            </w:r>
            <w:r w:rsidR="00415E53" w:rsidRPr="000F13EF">
              <w:t xml:space="preserve">În plus, există și alte situații pe care actuala hotărâre nu le detaliază, generând astfel interpretări și o practică neunitară la nivelul administrației – cazul în care evaluatorul se află în imposibilitatea de drept sau de fapt de a realiza efectiv evaluarea, cel în care în cadrul etapei interviului funcţionarul public evaluat refuză să semneze raportul de evaluare, sau situaţia în care instanţa dispune refacerea evaluării performanţelor profesionale individuale ale funcţionarilor publici, iar evaluatorul care a realizat procesul de evaluare ce urmează a fi refăcut nu îşi mai desfăşoară activitatea în funcţia care i-a acordat această calitate.  </w:t>
            </w:r>
            <w:r w:rsidRPr="000F13EF">
              <w:t xml:space="preserve"> </w:t>
            </w:r>
          </w:p>
          <w:p w:rsidR="00AA4081" w:rsidRPr="000F13EF" w:rsidRDefault="002F20F5" w:rsidP="00AA4081">
            <w:pPr>
              <w:spacing w:before="120"/>
              <w:jc w:val="both"/>
            </w:pPr>
            <w:r w:rsidRPr="000F13EF">
              <w:t xml:space="preserve">Art. 125 din </w:t>
            </w:r>
            <w:r w:rsidR="0035404C" w:rsidRPr="000F13EF">
              <w:t>H</w:t>
            </w:r>
            <w:r w:rsidRPr="000F13EF">
              <w:t xml:space="preserve">otărârea Guvernului </w:t>
            </w:r>
            <w:r w:rsidR="0035404C" w:rsidRPr="000F13EF">
              <w:t xml:space="preserve">nr.611/2008, cu modificările și completările ulterioare, </w:t>
            </w:r>
            <w:r w:rsidRPr="000F13EF">
              <w:t>dispune că examenul sau concursul se organizează anual, până la data de 15 august a fiecărui an, însă în legislația primară periodicitatea a fost modificată în anul 2010 – conform art. 64 alin. (2) din Legea nr. 188/1999, ” promovarea în funcţia publică de execuţie în gradul profesional imediat superior celui deţinut de funcţionarul public se face prin concurs sau examen, organizat semestrial”.</w:t>
            </w:r>
            <w:r w:rsidR="009A7B88" w:rsidRPr="000F13EF">
              <w:t xml:space="preserve"> </w:t>
            </w:r>
          </w:p>
          <w:p w:rsidR="002B3844" w:rsidRPr="000F13EF" w:rsidRDefault="00893ABD" w:rsidP="0035404C">
            <w:pPr>
              <w:spacing w:before="120"/>
              <w:jc w:val="both"/>
            </w:pPr>
            <w:r w:rsidRPr="000F13EF">
              <w:t xml:space="preserve">În ceea ce privește aspectele administrative cu privire la calculul și încadrarea în termenele procedurale, art. 156 din </w:t>
            </w:r>
            <w:r w:rsidR="0035404C" w:rsidRPr="000F13EF">
              <w:t>H</w:t>
            </w:r>
            <w:r w:rsidRPr="000F13EF">
              <w:t>otărâre</w:t>
            </w:r>
            <w:r w:rsidR="0035404C" w:rsidRPr="000F13EF">
              <w:t>a Guvernului nr.611/2008, cu modificările și completările ulterioare,</w:t>
            </w:r>
            <w:r w:rsidRPr="000F13EF">
              <w:t xml:space="preserve"> dispune că: (i) termenele prevăzute în prezenta hotărâre se calculează avându-se în vedere inclusiv ziua când au început şi ziua când s-au sfârşit; (ii) termenele stabilite pe ore se calculează începând de la ora afişării; (iii) termenul care începe într-o zi nelucrătoare sau de sărbătoare legală se consideră că începe în prima zi de lucru următoare; (iv) termenul care se sfârşeşte într-o zi nelucrătoare sau de sărbătoare legală se va prelungi până la sfârşitul primei zile de lucru următoare. </w:t>
            </w:r>
            <w:r w:rsidR="002B3844" w:rsidRPr="000F13EF">
              <w:t xml:space="preserve">Conform art. 181 din Legea nr.134/2010 privind Codul de procedură civilă, însă,  termenele, în afară de cazul în care legea dispune altfel, se calculează după cum urmează: (i) când termenul se socoteşte pe zile, nu intră în calcul ziua de la care începe să curgă termenul, nici ziua când acesta se împlineşte: (ii)  când termenul se socoteşte pe ore, </w:t>
            </w:r>
            <w:r w:rsidR="002B3844" w:rsidRPr="000F13EF">
              <w:lastRenderedPageBreak/>
              <w:t>acesta începe să curgă de la ora zero a zilei următoare; (iii) când ultima zi a unui termen cade într-o zi nelucrătoare, termenul se prelungeşte până în prima zi lucrătoare care urmează; (iv) când termenul se socoteşte pe săptămâni, luni sau ani, el se împlineşte în ziua corespunzătoare din ultima săptămână ori lună sau din ultimul an, iar dacă ultima lună nu are zi corespunzătoare celei în care termenul a început să curgă, termenul se împlineşte în ultima zi a acestei luni. În practică, existența acestor diferențe au generat dificultăți, candidații, în calitatea lor de beneficiari direcți ai serviciului public prestat de organizatorii concursurilor, fiind categoria de persoane cel mai mult afectată.</w:t>
            </w:r>
          </w:p>
        </w:tc>
      </w:tr>
      <w:tr w:rsidR="00CE0F29" w:rsidRPr="000F13EF" w:rsidTr="00E77CC1">
        <w:tc>
          <w:tcPr>
            <w:tcW w:w="2658" w:type="dxa"/>
            <w:shd w:val="clear" w:color="auto" w:fill="auto"/>
          </w:tcPr>
          <w:p w:rsidR="00CE0F29" w:rsidRPr="000F13EF" w:rsidRDefault="004A26D1" w:rsidP="00B83DFA">
            <w:r w:rsidRPr="000F13EF">
              <w:lastRenderedPageBreak/>
              <w:t xml:space="preserve">2. Schimbări preconizate  </w:t>
            </w:r>
          </w:p>
        </w:tc>
        <w:tc>
          <w:tcPr>
            <w:tcW w:w="7530" w:type="dxa"/>
            <w:gridSpan w:val="9"/>
            <w:shd w:val="clear" w:color="auto" w:fill="auto"/>
          </w:tcPr>
          <w:p w:rsidR="0021384E" w:rsidRPr="000F13EF" w:rsidRDefault="00C04DEA" w:rsidP="0021384E">
            <w:pPr>
              <w:pStyle w:val="Title"/>
              <w:spacing w:before="0"/>
              <w:ind w:left="34"/>
              <w:jc w:val="both"/>
              <w:rPr>
                <w:b w:val="0"/>
              </w:rPr>
            </w:pPr>
            <w:r w:rsidRPr="000F13EF">
              <w:rPr>
                <w:b w:val="0"/>
              </w:rPr>
              <w:t xml:space="preserve">Pentru eficientizarea organizării și desfășurării concursurilor, precum </w:t>
            </w:r>
            <w:r w:rsidR="00D56E76" w:rsidRPr="000F13EF">
              <w:rPr>
                <w:b w:val="0"/>
              </w:rPr>
              <w:t>și pentru a răspunde în mod corespunzător nevoilor tuturor părților interesate, prin prezenta hotărâre:</w:t>
            </w:r>
          </w:p>
          <w:p w:rsidR="00D56E76" w:rsidRPr="000F13EF" w:rsidRDefault="000C0739" w:rsidP="00B83DFA">
            <w:pPr>
              <w:pStyle w:val="Title"/>
              <w:spacing w:before="120"/>
              <w:ind w:left="34"/>
              <w:jc w:val="both"/>
              <w:rPr>
                <w:b w:val="0"/>
              </w:rPr>
            </w:pPr>
            <w:r w:rsidRPr="000F13EF">
              <w:rPr>
                <w:b w:val="0"/>
              </w:rPr>
              <w:t>- S</w:t>
            </w:r>
            <w:r w:rsidR="0021384E" w:rsidRPr="000F13EF">
              <w:rPr>
                <w:b w:val="0"/>
              </w:rPr>
              <w:t xml:space="preserve">e </w:t>
            </w:r>
            <w:r w:rsidR="00D56E76" w:rsidRPr="000F13EF">
              <w:rPr>
                <w:b w:val="0"/>
              </w:rPr>
              <w:t xml:space="preserve">extinde posibilitatea de desfășurare a </w:t>
            </w:r>
            <w:r w:rsidR="00CC0CC5" w:rsidRPr="000F13EF">
              <w:rPr>
                <w:b w:val="0"/>
              </w:rPr>
              <w:t xml:space="preserve">concursului/a </w:t>
            </w:r>
            <w:r w:rsidR="00D56E76" w:rsidRPr="000F13EF">
              <w:rPr>
                <w:b w:val="0"/>
              </w:rPr>
              <w:t>probelor de concurs și în alte locații decât sediul autorității sau instituției organizatoare a concursului</w:t>
            </w:r>
            <w:r w:rsidR="003D6278" w:rsidRPr="000F13EF">
              <w:rPr>
                <w:b w:val="0"/>
              </w:rPr>
              <w:t xml:space="preserve"> (cu armonizarea tuturor celorlalte dispoziții corespondente);</w:t>
            </w:r>
          </w:p>
          <w:p w:rsidR="003D6278" w:rsidRPr="000F13EF" w:rsidRDefault="004E71BA" w:rsidP="00B83DFA">
            <w:pPr>
              <w:pStyle w:val="Title"/>
              <w:spacing w:before="120"/>
              <w:ind w:left="34"/>
              <w:jc w:val="both"/>
              <w:rPr>
                <w:b w:val="0"/>
              </w:rPr>
            </w:pPr>
            <w:r w:rsidRPr="000F13EF">
              <w:rPr>
                <w:b w:val="0"/>
              </w:rPr>
              <w:t>- Se introduce în bibliografie</w:t>
            </w:r>
            <w:r w:rsidR="003D6278" w:rsidRPr="000F13EF">
              <w:rPr>
                <w:b w:val="0"/>
              </w:rPr>
              <w:t>, în mod obligatoriu, și Constituția României;</w:t>
            </w:r>
          </w:p>
          <w:p w:rsidR="00E77CC1" w:rsidRPr="000F13EF" w:rsidRDefault="00D56E76" w:rsidP="003D6278">
            <w:pPr>
              <w:pStyle w:val="Title"/>
              <w:spacing w:before="120"/>
              <w:ind w:left="34"/>
              <w:jc w:val="both"/>
              <w:rPr>
                <w:b w:val="0"/>
              </w:rPr>
            </w:pPr>
            <w:r w:rsidRPr="000F13EF">
              <w:rPr>
                <w:b w:val="0"/>
              </w:rPr>
              <w:t xml:space="preserve">- </w:t>
            </w:r>
            <w:r w:rsidR="00E77CC1" w:rsidRPr="000F13EF">
              <w:rPr>
                <w:b w:val="0"/>
              </w:rPr>
              <w:t>S</w:t>
            </w:r>
            <w:r w:rsidRPr="000F13EF">
              <w:rPr>
                <w:b w:val="0"/>
              </w:rPr>
              <w:t xml:space="preserve">e actualizează și clarifică regulile privind constituirea comisiilor de concurs și a comisiilor de soluționare a contestațiilor, respectiv: (i) se </w:t>
            </w:r>
            <w:r w:rsidR="004E71BA" w:rsidRPr="000F13EF">
              <w:rPr>
                <w:b w:val="0"/>
              </w:rPr>
              <w:t>înlocuiește</w:t>
            </w:r>
            <w:r w:rsidRPr="000F13EF">
              <w:rPr>
                <w:b w:val="0"/>
              </w:rPr>
              <w:t xml:space="preserve"> regula desemnării secretarilor de comisii din rândul funcţionarilor </w:t>
            </w:r>
            <w:r w:rsidR="00A23A24" w:rsidRPr="000F13EF">
              <w:rPr>
                <w:b w:val="0"/>
              </w:rPr>
              <w:t>publici ”din cadrul compartimentelor de resurse umane sau de către funcţionarii publici cu atribuţii în acest domeniu, prevăzute în fişa postului, din cadrul autorităţii sau instituţiei publice organizatoare a concursului”</w:t>
            </w:r>
            <w:r w:rsidR="004E71BA" w:rsidRPr="000F13EF">
              <w:rPr>
                <w:b w:val="0"/>
              </w:rPr>
              <w:t>,</w:t>
            </w:r>
            <w:r w:rsidRPr="000F13EF">
              <w:rPr>
                <w:b w:val="0"/>
              </w:rPr>
              <w:t xml:space="preserve"> </w:t>
            </w:r>
            <w:r w:rsidR="004E71BA" w:rsidRPr="000F13EF">
              <w:rPr>
                <w:b w:val="0"/>
              </w:rPr>
              <w:t xml:space="preserve">cu regula desemnării acestor persoane </w:t>
            </w:r>
            <w:r w:rsidR="00617155" w:rsidRPr="000F13EF">
              <w:rPr>
                <w:b w:val="0"/>
              </w:rPr>
              <w:t xml:space="preserve">astfel încât </w:t>
            </w:r>
            <w:r w:rsidR="00A23A24" w:rsidRPr="000F13EF">
              <w:rPr>
                <w:b w:val="0"/>
              </w:rPr>
              <w:t xml:space="preserve">să poată fi asigurată în condiţii optime desfăşurarea probelor de concurs, inclusiv în situația valorificării noii </w:t>
            </w:r>
            <w:r w:rsidR="00617155" w:rsidRPr="000F13EF">
              <w:rPr>
                <w:b w:val="0"/>
              </w:rPr>
              <w:t>posibilit</w:t>
            </w:r>
            <w:r w:rsidR="00A23A24" w:rsidRPr="000F13EF">
              <w:rPr>
                <w:b w:val="0"/>
              </w:rPr>
              <w:t>ăți de</w:t>
            </w:r>
            <w:r w:rsidR="00617155" w:rsidRPr="000F13EF">
              <w:rPr>
                <w:b w:val="0"/>
              </w:rPr>
              <w:t xml:space="preserve"> desfășur</w:t>
            </w:r>
            <w:r w:rsidR="00A23A24" w:rsidRPr="000F13EF">
              <w:rPr>
                <w:b w:val="0"/>
              </w:rPr>
              <w:t>are a</w:t>
            </w:r>
            <w:r w:rsidR="00617155" w:rsidRPr="000F13EF">
              <w:rPr>
                <w:b w:val="0"/>
              </w:rPr>
              <w:t xml:space="preserve"> concursului/a probelor de concurs și în alte locații decât sediul autorității sau instituției organizatoare a concursului</w:t>
            </w:r>
            <w:r w:rsidRPr="000F13EF">
              <w:rPr>
                <w:b w:val="0"/>
              </w:rPr>
              <w:t>; (i</w:t>
            </w:r>
            <w:r w:rsidR="000C0739" w:rsidRPr="000F13EF">
              <w:rPr>
                <w:b w:val="0"/>
              </w:rPr>
              <w:t>i</w:t>
            </w:r>
            <w:r w:rsidRPr="000F13EF">
              <w:rPr>
                <w:b w:val="0"/>
              </w:rPr>
              <w:t xml:space="preserve">) </w:t>
            </w:r>
            <w:r w:rsidR="00E77CC1" w:rsidRPr="000F13EF">
              <w:rPr>
                <w:b w:val="0"/>
              </w:rPr>
              <w:t xml:space="preserve">se </w:t>
            </w:r>
            <w:r w:rsidR="00617155" w:rsidRPr="000F13EF">
              <w:rPr>
                <w:b w:val="0"/>
              </w:rPr>
              <w:t>clarifică perioada de emitere a actelor administrative de constituire a comisiilor de concurs și a comisiilor de soluționare a contestațiilor, prin înlocuirea mențiunii actuale ”cu minimum 20 de zile înaintea desfăşurării concursului” cu mențiunea ”de la momentul solicitării avizului sau, după caz, înştiinţării Agenţiei, dar nu mai târziu de data publicării anunțului privind concursul”</w:t>
            </w:r>
            <w:r w:rsidR="003D6278" w:rsidRPr="000F13EF">
              <w:rPr>
                <w:b w:val="0"/>
              </w:rPr>
              <w:t>; (</w:t>
            </w:r>
            <w:proofErr w:type="spellStart"/>
            <w:r w:rsidR="000C0739" w:rsidRPr="000F13EF">
              <w:rPr>
                <w:b w:val="0"/>
              </w:rPr>
              <w:t>iii</w:t>
            </w:r>
            <w:proofErr w:type="spellEnd"/>
            <w:r w:rsidR="003D6278" w:rsidRPr="000F13EF">
              <w:rPr>
                <w:b w:val="0"/>
              </w:rPr>
              <w:t xml:space="preserve">) </w:t>
            </w:r>
            <w:r w:rsidR="00AA3256" w:rsidRPr="000F13EF">
              <w:rPr>
                <w:b w:val="0"/>
              </w:rPr>
              <w:t>se completează în mod corespunzător situațiile reglementate ce au ca efect desemnarea, ca reprezentanţi ai autorităţii sau instituţiei publice în al cărei stat de funcţii se află funcţia publică vacantă pentru care se organizează concursul, a unor funcţionari publici din cadrul altor autorităţi sau instituţii publice (art. 29 din hotărârea în vigoare) și se introduce obligația solicitării/exprimării acordului conducătorilor instituției publice în cadrul căreia își desfășoară activitatea funcționarul public pentru desemnarea ca membru în cadrul comisiei de concurs în condițiile menționate</w:t>
            </w:r>
            <w:r w:rsidR="003D6278" w:rsidRPr="000F13EF">
              <w:rPr>
                <w:b w:val="0"/>
              </w:rPr>
              <w:t>; (</w:t>
            </w:r>
            <w:proofErr w:type="spellStart"/>
            <w:r w:rsidR="000C0739" w:rsidRPr="000F13EF">
              <w:rPr>
                <w:b w:val="0"/>
              </w:rPr>
              <w:t>i</w:t>
            </w:r>
            <w:r w:rsidR="003D6278" w:rsidRPr="000F13EF">
              <w:rPr>
                <w:b w:val="0"/>
              </w:rPr>
              <w:t>v</w:t>
            </w:r>
            <w:proofErr w:type="spellEnd"/>
            <w:r w:rsidR="003D6278" w:rsidRPr="000F13EF">
              <w:rPr>
                <w:b w:val="0"/>
              </w:rPr>
              <w:t xml:space="preserve">) </w:t>
            </w:r>
            <w:r w:rsidR="00662CAE" w:rsidRPr="000F13EF">
              <w:rPr>
                <w:b w:val="0"/>
              </w:rPr>
              <w:t>se introduce posibilitatea ca în cazul în care se solicită competențe specifice în domeniul tehnologiei informației, limbi străine, limbi ale minorităților naționale ori alte competențe specifice, acestea să poată fi dovedite de către candidați inclusiv prin documente emise în condițiile legii, potrivit standardului sau nivelului solicitat în anunțul de concurs sau se testează prin proba suplimentară;</w:t>
            </w:r>
            <w:r w:rsidR="00390D79" w:rsidRPr="000F13EF">
              <w:rPr>
                <w:b w:val="0"/>
              </w:rPr>
              <w:t xml:space="preserve"> (v) se detaliază, în scop de standardizare, organizarea și desfășurarea probei suplimentare, acolo unde aceasta se justifică;</w:t>
            </w:r>
            <w:r w:rsidR="00FC1FF5" w:rsidRPr="000F13EF">
              <w:rPr>
                <w:b w:val="0"/>
              </w:rPr>
              <w:t xml:space="preserve"> (v) se introduce posibilitatea organizării de către Agenție, la cerere, a unor instruiri tematice pentru persoanele desemnate reprezentanți în comisiile de concurs și comisiile de soluționare a contestațiilor;</w:t>
            </w:r>
          </w:p>
          <w:p w:rsidR="00662CAE" w:rsidRPr="000F13EF" w:rsidRDefault="00662CAE" w:rsidP="003D6278">
            <w:pPr>
              <w:pStyle w:val="Title"/>
              <w:spacing w:before="120"/>
              <w:ind w:left="34"/>
              <w:jc w:val="both"/>
              <w:rPr>
                <w:b w:val="0"/>
              </w:rPr>
            </w:pPr>
            <w:r w:rsidRPr="000F13EF">
              <w:rPr>
                <w:b w:val="0"/>
              </w:rPr>
              <w:lastRenderedPageBreak/>
              <w:t xml:space="preserve">- </w:t>
            </w:r>
            <w:r w:rsidR="00390D79" w:rsidRPr="000F13EF">
              <w:rPr>
                <w:b w:val="0"/>
              </w:rPr>
              <w:t>S</w:t>
            </w:r>
            <w:r w:rsidRPr="000F13EF">
              <w:rPr>
                <w:b w:val="0"/>
              </w:rPr>
              <w:t>e actualizează și se completează regulile privind publicitatea concursului: (i) se stabilesc informațiile ce vor fi cuprinse în mod obligatoriu în anunțul privind concursul publicat în Monitorul Oficial al României și în presa scrisă; (ii) se completează informațiile ce vor fi cuprinse în mod obligatoriu în anunțul afișat la sediul autorității sau instituției publice organizatoare și pe pagina de internet a acesteia;</w:t>
            </w:r>
          </w:p>
          <w:p w:rsidR="00662CAE" w:rsidRPr="000F13EF" w:rsidRDefault="00662CAE" w:rsidP="003D6278">
            <w:pPr>
              <w:pStyle w:val="Title"/>
              <w:spacing w:before="120"/>
              <w:ind w:left="34"/>
              <w:jc w:val="both"/>
              <w:rPr>
                <w:b w:val="0"/>
              </w:rPr>
            </w:pPr>
            <w:r w:rsidRPr="000F13EF">
              <w:rPr>
                <w:b w:val="0"/>
              </w:rPr>
              <w:t xml:space="preserve">- </w:t>
            </w:r>
            <w:r w:rsidR="00390D79" w:rsidRPr="000F13EF">
              <w:rPr>
                <w:b w:val="0"/>
              </w:rPr>
              <w:t>S</w:t>
            </w:r>
            <w:r w:rsidR="0031400E" w:rsidRPr="000F13EF">
              <w:rPr>
                <w:b w:val="0"/>
              </w:rPr>
              <w:t xml:space="preserve">e </w:t>
            </w:r>
            <w:r w:rsidR="00C66C2A" w:rsidRPr="000F13EF">
              <w:rPr>
                <w:b w:val="0"/>
              </w:rPr>
              <w:t xml:space="preserve">modifică modalitatea de remunerare </w:t>
            </w:r>
            <w:r w:rsidR="0031400E" w:rsidRPr="000F13EF">
              <w:rPr>
                <w:b w:val="0"/>
              </w:rPr>
              <w:t xml:space="preserve">pentru participarea la lucrările comisiei de concurs, precum şi la cele ale comisiei de soluţionare a contestaţiilor, </w:t>
            </w:r>
            <w:r w:rsidR="00C66C2A" w:rsidRPr="000F13EF">
              <w:rPr>
                <w:b w:val="0"/>
              </w:rPr>
              <w:t xml:space="preserve">prin uniformizarea termenului de referință utilizat, în locul indemnizației </w:t>
            </w:r>
            <w:r w:rsidR="0031400E" w:rsidRPr="000F13EF">
              <w:rPr>
                <w:b w:val="0"/>
              </w:rPr>
              <w:t>” reprezentând 1% din salariul de bază, stabilit conform legii”</w:t>
            </w:r>
            <w:r w:rsidR="00C66C2A" w:rsidRPr="000F13EF">
              <w:rPr>
                <w:b w:val="0"/>
              </w:rPr>
              <w:t>,</w:t>
            </w:r>
            <w:r w:rsidR="0031400E" w:rsidRPr="000F13EF">
              <w:rPr>
                <w:b w:val="0"/>
              </w:rPr>
              <w:t xml:space="preserve"> </w:t>
            </w:r>
            <w:r w:rsidR="00C66C2A" w:rsidRPr="000F13EF">
              <w:rPr>
                <w:b w:val="0"/>
              </w:rPr>
              <w:t>membrii comisiilor de concurs și de soluționare a contestațiilor, precum și secretarul acestor comisii, având</w:t>
            </w:r>
            <w:r w:rsidR="0031400E" w:rsidRPr="000F13EF">
              <w:rPr>
                <w:b w:val="0"/>
              </w:rPr>
              <w:t xml:space="preserve"> ”</w:t>
            </w:r>
            <w:r w:rsidR="00390D79" w:rsidRPr="000F13EF">
              <w:rPr>
                <w:b w:val="0"/>
              </w:rPr>
              <w:t xml:space="preserve"> dreptul la o indemnizaţie reprezentând 10% din</w:t>
            </w:r>
            <w:r w:rsidR="00C66C2A" w:rsidRPr="000F13EF">
              <w:rPr>
                <w:b w:val="0"/>
              </w:rPr>
              <w:t xml:space="preserve"> salariului de bază minim brut pe ţară garantat în plată</w:t>
            </w:r>
            <w:r w:rsidR="0031400E" w:rsidRPr="000F13EF">
              <w:rPr>
                <w:b w:val="0"/>
              </w:rPr>
              <w:t>”</w:t>
            </w:r>
            <w:r w:rsidR="00390D79" w:rsidRPr="000F13EF">
              <w:rPr>
                <w:b w:val="0"/>
              </w:rPr>
              <w:t>;</w:t>
            </w:r>
          </w:p>
          <w:p w:rsidR="00390D79" w:rsidRPr="000F13EF" w:rsidRDefault="00390D79" w:rsidP="00E23862">
            <w:pPr>
              <w:pStyle w:val="Title"/>
              <w:spacing w:before="120"/>
              <w:ind w:left="34"/>
              <w:jc w:val="both"/>
              <w:rPr>
                <w:b w:val="0"/>
              </w:rPr>
            </w:pPr>
            <w:r w:rsidRPr="000F13EF">
              <w:rPr>
                <w:b w:val="0"/>
              </w:rPr>
              <w:t xml:space="preserve">- Se modifică dispozițiile privind constituirea dosarului de concurs, în sensul: (i) </w:t>
            </w:r>
            <w:r w:rsidR="001F0727" w:rsidRPr="000F13EF">
              <w:rPr>
                <w:b w:val="0"/>
              </w:rPr>
              <w:t xml:space="preserve">completării listei documentelor, astfel încât gradul de relevanță al informațiilor despre candidat și competențele deținute de acesta să fie mai mare; (ii) </w:t>
            </w:r>
            <w:r w:rsidRPr="000F13EF">
              <w:rPr>
                <w:b w:val="0"/>
              </w:rPr>
              <w:t>solicitării exclusiv a unor copii ale documentelor originale, legalizate sau însoţite de documentele originale pentru a fi certificate pentru conformitatea cu originalul de către secretarul comisiei de concurs; (ii</w:t>
            </w:r>
            <w:r w:rsidR="001F0727" w:rsidRPr="000F13EF">
              <w:rPr>
                <w:b w:val="0"/>
              </w:rPr>
              <w:t>i</w:t>
            </w:r>
            <w:r w:rsidRPr="000F13EF">
              <w:rPr>
                <w:b w:val="0"/>
              </w:rPr>
              <w:t>) armonizării cu prevederile OUG nr. 41/2016</w:t>
            </w:r>
            <w:r w:rsidR="00326CD8" w:rsidRPr="000F13EF">
              <w:rPr>
                <w:b w:val="0"/>
              </w:rPr>
              <w:t>, cu modificările ulterioare,</w:t>
            </w:r>
            <w:r w:rsidRPr="000F13EF">
              <w:rPr>
                <w:b w:val="0"/>
              </w:rPr>
              <w:t xml:space="preserve"> în ceea ce privește transmiterea copiei actului de identitate, solicitării informațiilor privind cazierul judiciar și punerii la dispoziția candidaților</w:t>
            </w:r>
            <w:r w:rsidR="00E23862" w:rsidRPr="000F13EF">
              <w:rPr>
                <w:b w:val="0"/>
              </w:rPr>
              <w:t>, în format ele</w:t>
            </w:r>
            <w:r w:rsidRPr="000F13EF">
              <w:rPr>
                <w:b w:val="0"/>
              </w:rPr>
              <w:t>ctronic, a formularului de înscriere</w:t>
            </w:r>
            <w:r w:rsidR="00E23862" w:rsidRPr="000F13EF">
              <w:rPr>
                <w:b w:val="0"/>
              </w:rPr>
              <w:t xml:space="preserve"> la concurs;</w:t>
            </w:r>
          </w:p>
          <w:p w:rsidR="007176B2" w:rsidRPr="000F13EF" w:rsidRDefault="007176B2" w:rsidP="00B83DFA">
            <w:pPr>
              <w:pStyle w:val="Title"/>
              <w:spacing w:before="120"/>
              <w:ind w:left="34"/>
              <w:jc w:val="both"/>
              <w:rPr>
                <w:b w:val="0"/>
              </w:rPr>
            </w:pPr>
            <w:r w:rsidRPr="000F13EF">
              <w:rPr>
                <w:b w:val="0"/>
              </w:rPr>
              <w:t>- Se actualizează regulile privind activitatea comisiilor de concurs și a comisiilor de soluționare a contestațiilor și modalitatea de luare a deciziilor</w:t>
            </w:r>
            <w:r w:rsidR="00E23862" w:rsidRPr="000F13EF">
              <w:rPr>
                <w:b w:val="0"/>
              </w:rPr>
              <w:t>, inclusiv</w:t>
            </w:r>
            <w:r w:rsidRPr="000F13EF">
              <w:rPr>
                <w:b w:val="0"/>
              </w:rPr>
              <w:t xml:space="preserve"> în calitate de organ colegial: (i) </w:t>
            </w:r>
            <w:r w:rsidR="00E23862" w:rsidRPr="000F13EF">
              <w:rPr>
                <w:b w:val="0"/>
              </w:rPr>
              <w:t xml:space="preserve">se introduce dispoziția conform căreia la selecția dosarelor, în situația în care între membrii comisiei de concurs </w:t>
            </w:r>
            <w:r w:rsidR="00CC0CC5" w:rsidRPr="000F13EF">
              <w:rPr>
                <w:b w:val="0"/>
              </w:rPr>
              <w:t xml:space="preserve">sau, după caz, ai comisiei de soluționare a contestațiilor, </w:t>
            </w:r>
            <w:r w:rsidR="00E23862" w:rsidRPr="000F13EF">
              <w:rPr>
                <w:b w:val="0"/>
              </w:rPr>
              <w:t>există diferențe de opinie ce nu au putut fi soluționate de comun acord, dosarul va fi declarat admis sau respins în funcție de opinia majoritară, consemnată conform fișelor individuale ale acestora, membrul comisiei de concurs care nu este de acord cu opinia majoritară având obligația formulării unei opinii separate, motivate, care se consemnează în fișa individuală; (ii) se introduce dispoziția conform căreia, pentru concursurile în competența sa de organizare, Agenția Națională a Funcționarilor Publici constituie o bază de date cu subiecte din care reprezentan</w:t>
            </w:r>
            <w:r w:rsidR="00FC1FF5" w:rsidRPr="000F13EF">
              <w:rPr>
                <w:b w:val="0"/>
              </w:rPr>
              <w:t>ții</w:t>
            </w:r>
            <w:r w:rsidR="00E23862" w:rsidRPr="000F13EF">
              <w:rPr>
                <w:b w:val="0"/>
              </w:rPr>
              <w:t xml:space="preserve"> Agenției în comisiile de concurs </w:t>
            </w:r>
            <w:r w:rsidR="00FC1FF5" w:rsidRPr="000F13EF">
              <w:rPr>
                <w:b w:val="0"/>
              </w:rPr>
              <w:t xml:space="preserve">să </w:t>
            </w:r>
            <w:r w:rsidR="00E23862" w:rsidRPr="000F13EF">
              <w:rPr>
                <w:b w:val="0"/>
              </w:rPr>
              <w:t>extrag</w:t>
            </w:r>
            <w:r w:rsidR="00FC1FF5" w:rsidRPr="000F13EF">
              <w:rPr>
                <w:b w:val="0"/>
              </w:rPr>
              <w:t>ă</w:t>
            </w:r>
            <w:r w:rsidR="00E23862" w:rsidRPr="000F13EF">
              <w:rPr>
                <w:b w:val="0"/>
              </w:rPr>
              <w:t xml:space="preserve"> variantele de subiecte; </w:t>
            </w:r>
            <w:r w:rsidR="00FC1FF5" w:rsidRPr="000F13EF">
              <w:rPr>
                <w:b w:val="0"/>
              </w:rPr>
              <w:t>(</w:t>
            </w:r>
            <w:proofErr w:type="spellStart"/>
            <w:r w:rsidR="00FC1FF5" w:rsidRPr="000F13EF">
              <w:rPr>
                <w:b w:val="0"/>
              </w:rPr>
              <w:t>iii</w:t>
            </w:r>
            <w:proofErr w:type="spellEnd"/>
            <w:r w:rsidR="00FC1FF5" w:rsidRPr="000F13EF">
              <w:rPr>
                <w:b w:val="0"/>
              </w:rPr>
              <w:t xml:space="preserve">) se introduce o limită de 30% din punctajul maxim al probei scrise, pentru subiectele din bibliografia obligatorie, extrase de reprezentanții Agenției din baza de date proprie; </w:t>
            </w:r>
            <w:r w:rsidR="00E23862" w:rsidRPr="000F13EF">
              <w:rPr>
                <w:b w:val="0"/>
              </w:rPr>
              <w:t>(</w:t>
            </w:r>
            <w:proofErr w:type="spellStart"/>
            <w:r w:rsidR="00E23862" w:rsidRPr="000F13EF">
              <w:rPr>
                <w:b w:val="0"/>
              </w:rPr>
              <w:t>iv</w:t>
            </w:r>
            <w:proofErr w:type="spellEnd"/>
            <w:r w:rsidR="00E23862" w:rsidRPr="000F13EF">
              <w:rPr>
                <w:b w:val="0"/>
              </w:rPr>
              <w:t xml:space="preserve">) se introduce dispoziția conform căreia un candidat poate elabora lucrarea în cadrul probei scrise pentru o singură funcție publică, în situația în care persoana a fost admisă la selecția dosarelor la concursul pentru două sau mai multe funcții publice, programat a se desfășura în aceeași zi și la aceeași oră, aceasta având obligația de a opta pentru funcția publică pentru care dorește să susțină proba scrisă, la apelul nominal al candidaților; (v) se introduce un model standard de borderou de predare a lucrărilor; (vi) se stabilește că în situația în care, la corectarea lucrărilor în cadrul probei scrise, pentru o lucrare se înregistrează diferențe mai mari de 10 puncte între punctajele acordate de </w:t>
            </w:r>
            <w:r w:rsidR="00E23862" w:rsidRPr="000F13EF">
              <w:rPr>
                <w:b w:val="0"/>
              </w:rPr>
              <w:lastRenderedPageBreak/>
              <w:t>membrii comisiei de concurs, lucrarea se recorectează de către toți membrii acesteia o singură dată, în cazul menținerii diferențe</w:t>
            </w:r>
            <w:r w:rsidR="00CC0CC5" w:rsidRPr="000F13EF">
              <w:rPr>
                <w:b w:val="0"/>
              </w:rPr>
              <w:t>i</w:t>
            </w:r>
            <w:r w:rsidR="00E23862" w:rsidRPr="000F13EF">
              <w:rPr>
                <w:b w:val="0"/>
              </w:rPr>
              <w:t xml:space="preserve"> și după recorectare punctajul final va fi calculat ca medie aritmetică a punctajelor acordate de membrii comisiei de concurs</w:t>
            </w:r>
            <w:r w:rsidR="00CC0CC5" w:rsidRPr="000F13EF">
              <w:rPr>
                <w:b w:val="0"/>
              </w:rPr>
              <w:t>, iar m</w:t>
            </w:r>
            <w:r w:rsidR="00E23862" w:rsidRPr="000F13EF">
              <w:rPr>
                <w:b w:val="0"/>
              </w:rPr>
              <w:t xml:space="preserve">embrul comisiei de concurs care a acordat cel mai mic, respectiv cel mai mare punctaj </w:t>
            </w:r>
            <w:r w:rsidR="00CC0CC5" w:rsidRPr="000F13EF">
              <w:rPr>
                <w:b w:val="0"/>
              </w:rPr>
              <w:t>are obligația motivării</w:t>
            </w:r>
            <w:r w:rsidR="00E23862" w:rsidRPr="000F13EF">
              <w:rPr>
                <w:b w:val="0"/>
              </w:rPr>
              <w:t xml:space="preserve"> punctajul acordat, detaliat pe baremul de corectare, în fișa individuală</w:t>
            </w:r>
            <w:r w:rsidR="00CC0CC5" w:rsidRPr="000F13EF">
              <w:rPr>
                <w:b w:val="0"/>
              </w:rPr>
              <w:t xml:space="preserve">; (vii) se elimină obligația ca, în situaţia constatării necesităţii amânării concursului, autoritatea sau instituţia publică organizatoare a concursului să anunțe modificările ”prin aceleași mijloace de informare”; (viii) se reglementează situația neprezentării candidatului declarat admis în vederea numirii, la data stabilită, prin introducerea posibilității de notificare și, respectiv, numire, a următorului candidat de pe lista, dacă acesta a îndeplinit obligația obținerii punctajului minim prevăzut de lege pentru a fi declarat admis; </w:t>
            </w:r>
          </w:p>
          <w:p w:rsidR="00CE3F23" w:rsidRPr="000F13EF" w:rsidRDefault="00E77CC1" w:rsidP="00FC1FF5">
            <w:pPr>
              <w:pStyle w:val="Title"/>
              <w:spacing w:before="120"/>
              <w:ind w:left="34"/>
              <w:jc w:val="both"/>
              <w:rPr>
                <w:b w:val="0"/>
              </w:rPr>
            </w:pPr>
            <w:r w:rsidRPr="000F13EF">
              <w:rPr>
                <w:b w:val="0"/>
              </w:rPr>
              <w:t xml:space="preserve">- Se actualizează modalitatea de aducere la cunoștința candidaților a rezultatelor obținute la probele concursurilor la care aceștia au participat, corelativ cu extinderea posibilității de </w:t>
            </w:r>
            <w:r w:rsidR="00CC0CC5" w:rsidRPr="000F13EF">
              <w:rPr>
                <w:b w:val="0"/>
              </w:rPr>
              <w:t>afișare a rezultatelor</w:t>
            </w:r>
            <w:r w:rsidRPr="000F13EF">
              <w:rPr>
                <w:b w:val="0"/>
              </w:rPr>
              <w:t xml:space="preserve"> probelor de concurs și în locații</w:t>
            </w:r>
            <w:r w:rsidR="00CC0CC5" w:rsidRPr="000F13EF">
              <w:rPr>
                <w:b w:val="0"/>
              </w:rPr>
              <w:t>le de desfășurare, altele</w:t>
            </w:r>
            <w:r w:rsidRPr="000F13EF">
              <w:rPr>
                <w:b w:val="0"/>
              </w:rPr>
              <w:t xml:space="preserve"> decât sediul autorității sau instituției organizatoare a concursului</w:t>
            </w:r>
            <w:r w:rsidR="00CC0CC5" w:rsidRPr="000F13EF">
              <w:rPr>
                <w:b w:val="0"/>
              </w:rPr>
              <w:t xml:space="preserve"> și</w:t>
            </w:r>
            <w:r w:rsidRPr="000F13EF">
              <w:rPr>
                <w:b w:val="0"/>
              </w:rPr>
              <w:t xml:space="preserve"> </w:t>
            </w:r>
            <w:r w:rsidR="00CC0CC5" w:rsidRPr="000F13EF">
              <w:rPr>
                <w:b w:val="0"/>
              </w:rPr>
              <w:t>completarea</w:t>
            </w:r>
            <w:r w:rsidRPr="000F13EF">
              <w:rPr>
                <w:b w:val="0"/>
              </w:rPr>
              <w:t xml:space="preserve"> prin introducerea obligației </w:t>
            </w:r>
            <w:r w:rsidR="00CC0CC5" w:rsidRPr="000F13EF">
              <w:rPr>
                <w:b w:val="0"/>
              </w:rPr>
              <w:t xml:space="preserve">de </w:t>
            </w:r>
            <w:r w:rsidRPr="000F13EF">
              <w:rPr>
                <w:b w:val="0"/>
              </w:rPr>
              <w:t>public</w:t>
            </w:r>
            <w:r w:rsidR="00CC0CC5" w:rsidRPr="000F13EF">
              <w:rPr>
                <w:b w:val="0"/>
              </w:rPr>
              <w:t>are a</w:t>
            </w:r>
            <w:r w:rsidRPr="000F13EF">
              <w:rPr>
                <w:b w:val="0"/>
              </w:rPr>
              <w:t xml:space="preserve"> rezultatelor selectării dosarelor și pe pagina de internet, la o secțiune special creată în acest scop, dacă autoritatea sau instituția publică are pagină de internet.</w:t>
            </w:r>
          </w:p>
          <w:p w:rsidR="005F53F8" w:rsidRPr="000F13EF" w:rsidRDefault="00CC0CC5" w:rsidP="005F53F8">
            <w:pPr>
              <w:pStyle w:val="Title"/>
              <w:spacing w:before="120"/>
              <w:ind w:left="34"/>
              <w:jc w:val="both"/>
              <w:rPr>
                <w:b w:val="0"/>
              </w:rPr>
            </w:pPr>
            <w:r w:rsidRPr="000F13EF">
              <w:rPr>
                <w:b w:val="0"/>
              </w:rPr>
              <w:t xml:space="preserve">- </w:t>
            </w:r>
            <w:r w:rsidR="005F53F8" w:rsidRPr="000F13EF">
              <w:rPr>
                <w:b w:val="0"/>
              </w:rPr>
              <w:t>Se actualizează și completează dispozițiile referitoare la modificarea raporturilor de serviciu ale funcționarilor publici debutanți, în sensul că aceasta va putea avea loc prin delegare și mutare în cadrul altui compartiment ori altei structuri fără personalitate juridică a autorității sau instituției publice, în condițiile legii</w:t>
            </w:r>
            <w:r w:rsidR="00E77CC1" w:rsidRPr="000F13EF">
              <w:rPr>
                <w:b w:val="0"/>
              </w:rPr>
              <w:t xml:space="preserve"> </w:t>
            </w:r>
            <w:r w:rsidR="005F53F8" w:rsidRPr="000F13EF">
              <w:rPr>
                <w:b w:val="0"/>
              </w:rPr>
              <w:t xml:space="preserve">(cu efectele aferente asupra </w:t>
            </w:r>
            <w:r w:rsidR="0018562E" w:rsidRPr="000F13EF">
              <w:rPr>
                <w:b w:val="0"/>
              </w:rPr>
              <w:t xml:space="preserve">organizării activității și </w:t>
            </w:r>
            <w:r w:rsidR="005F53F8" w:rsidRPr="000F13EF">
              <w:rPr>
                <w:b w:val="0"/>
              </w:rPr>
              <w:t>evaluării la finalul perioadei de stagiu);</w:t>
            </w:r>
          </w:p>
          <w:p w:rsidR="00643164" w:rsidRPr="000F13EF" w:rsidRDefault="005F53F8" w:rsidP="00643164">
            <w:pPr>
              <w:pStyle w:val="Title"/>
              <w:spacing w:before="120"/>
              <w:ind w:left="34"/>
              <w:jc w:val="both"/>
              <w:rPr>
                <w:b w:val="0"/>
              </w:rPr>
            </w:pPr>
            <w:r w:rsidRPr="000F13EF">
              <w:rPr>
                <w:b w:val="0"/>
              </w:rPr>
              <w:t xml:space="preserve">- </w:t>
            </w:r>
            <w:r w:rsidR="00643164" w:rsidRPr="000F13EF">
              <w:rPr>
                <w:b w:val="0"/>
              </w:rPr>
              <w:t xml:space="preserve">Se actualizează și completează dispozițiile referitoare la evaluarea performanțelor profesionale individuale ale funcționarilor publici: (i) se stabilește că poate avea calitatea de evaluator și ”persoana care coordonează activitatea respectivului funcţionar public, potrivit actelor administrative emise în acest sens”, pentru funcționarii cărora nu le sunt aplicabile prevederile deja în vigoare cu privire la evaluatori; (ii) se reglementează situația în care evaluatorul se află în imposibilitatea de drept sau de fapt de a realiza efectiv evaluarea - în această situaţie calitatea de evaluator revine persoanei care îndeplineşte atribuţiile de conducător al autorităţii sau instituţiei publice la data încetării, suspendării sau modificării în condiţiile legii a raportului de serviciu sau, după caz, a raportului de muncă al evaluatorului, ori persoanei desemnate prin act administrativ de către acesta; (iii) se reglementează situația în care, în cadrul etapei interviului funcţionarul public evaluat refuză să semneze raportul de evaluare - acest aspect se va consemna într-un proces verbal întocmit de către evaluator şi semnat de către acesta şi un martor, refuzul funcţionarului public evaluat de a semna raportul de evaluare neîmpiedicând producerea efectelor juridice ale raportului de evaluare; (iv) se dispune că în situaţia în care instanţa dispune refacerea evaluării performanţelor profesionale individuale ale funcţionarilor publici, iar evaluatorul care a realizat procesul de evaluare ce urmează a fi refăcut nu îşi mai desfăşoară activitatea în funcţia care i-a acordat această calitate, evaluator este conducătorul autorităţii sau instituţiei publice care are </w:t>
            </w:r>
            <w:r w:rsidR="00643164" w:rsidRPr="000F13EF">
              <w:rPr>
                <w:b w:val="0"/>
              </w:rPr>
              <w:lastRenderedPageBreak/>
              <w:t>obligaţia punerii în executare a hotărârii judecătoreşti definitive ori persoana desemnată prin act administrativ de către acesta;</w:t>
            </w:r>
          </w:p>
          <w:p w:rsidR="00D56E76" w:rsidRPr="000F13EF" w:rsidRDefault="00643164" w:rsidP="00C92973">
            <w:pPr>
              <w:pStyle w:val="Title"/>
              <w:spacing w:before="120"/>
              <w:ind w:left="34"/>
              <w:jc w:val="both"/>
              <w:rPr>
                <w:b w:val="0"/>
              </w:rPr>
            </w:pPr>
            <w:r w:rsidRPr="000F13EF">
              <w:rPr>
                <w:b w:val="0"/>
              </w:rPr>
              <w:t xml:space="preserve">- </w:t>
            </w:r>
            <w:r w:rsidR="00C92973" w:rsidRPr="000F13EF">
              <w:rPr>
                <w:b w:val="0"/>
              </w:rPr>
              <w:t>În ceea ce privește promovarea: (i) se elimină dispoziția privind periodicitatea anuală a organizării concursului de promovare în grad profesional; (ii) se elimină obligația de avizare a transformării postului candidaților declarați admiși la concursul de promovare; (i</w:t>
            </w:r>
            <w:r w:rsidR="00794D00" w:rsidRPr="000F13EF">
              <w:rPr>
                <w:b w:val="0"/>
              </w:rPr>
              <w:t>ii</w:t>
            </w:r>
            <w:r w:rsidR="00C92973" w:rsidRPr="000F13EF">
              <w:rPr>
                <w:b w:val="0"/>
              </w:rPr>
              <w:t>) se instituie explicit posibilitatea funcționarilor publici de conducere de a promova într-o funcție publică de conducere vacantă de nivel superior, pe bază de examen sau concurs; (</w:t>
            </w:r>
            <w:r w:rsidR="00794D00" w:rsidRPr="000F13EF">
              <w:rPr>
                <w:b w:val="0"/>
              </w:rPr>
              <w:t>i</w:t>
            </w:r>
            <w:r w:rsidR="00C92973" w:rsidRPr="000F13EF">
              <w:rPr>
                <w:b w:val="0"/>
              </w:rPr>
              <w:t xml:space="preserve">v) </w:t>
            </w:r>
            <w:r w:rsidR="00342BA8" w:rsidRPr="000F13EF">
              <w:rPr>
                <w:b w:val="0"/>
              </w:rPr>
              <w:t xml:space="preserve">se modifică dispozițiile privind constituirea dosarului de concurs sau examen </w:t>
            </w:r>
            <w:r w:rsidR="0018562E" w:rsidRPr="000F13EF">
              <w:rPr>
                <w:b w:val="0"/>
              </w:rPr>
              <w:t>corelativ cu modificările și completările aduse dispozițiilor privind constituirea dosarului de concurs la concursurile de recrutare și se introduce posibilitatea completării documentației, la cere</w:t>
            </w:r>
            <w:r w:rsidR="00535D54" w:rsidRPr="000F13EF">
              <w:rPr>
                <w:b w:val="0"/>
              </w:rPr>
              <w:t>re</w:t>
            </w:r>
            <w:r w:rsidR="0018562E" w:rsidRPr="000F13EF">
              <w:rPr>
                <w:b w:val="0"/>
              </w:rPr>
              <w:t xml:space="preserve">a candidaților, </w:t>
            </w:r>
            <w:r w:rsidR="00535D54" w:rsidRPr="000F13EF">
              <w:rPr>
                <w:b w:val="0"/>
              </w:rPr>
              <w:t>inclusiv de către autoritatea sau instituția publică organizatoare a concursului (în aplicarea art. 4 din OUG nr. 41/2016 privind stabilirea unor măsuri de simplificare la nivelul administraţiei publice centrale şi pentru modificarea şi completarea unor acte normative, cu modificările ulterioare)</w:t>
            </w:r>
            <w:r w:rsidR="0018562E" w:rsidRPr="000F13EF">
              <w:rPr>
                <w:b w:val="0"/>
              </w:rPr>
              <w:t>;</w:t>
            </w:r>
          </w:p>
          <w:p w:rsidR="00C92973" w:rsidRPr="000F13EF" w:rsidRDefault="00C92973" w:rsidP="00C7524A">
            <w:pPr>
              <w:pStyle w:val="Title"/>
              <w:spacing w:before="120"/>
              <w:ind w:left="34"/>
              <w:jc w:val="both"/>
              <w:rPr>
                <w:b w:val="0"/>
              </w:rPr>
            </w:pPr>
            <w:r w:rsidRPr="000F13EF">
              <w:rPr>
                <w:b w:val="0"/>
              </w:rPr>
              <w:t xml:space="preserve">- În ceea ce privește aspectele administrative cu privire la calculul și încadrarea în termenele procedurale, se instituie regula raportării la dispozițiile art.181 din Legea nr.134/2010 privind Codul de procedură civilă, </w:t>
            </w:r>
            <w:r w:rsidR="00C7524A" w:rsidRPr="000F13EF">
              <w:rPr>
                <w:b w:val="0"/>
              </w:rPr>
              <w:t>se clarifică situația dosarelor de concurs depuse la oficiul poștal, la un serviciu de curierat rapid ori la un serviciu specializat de comunicare și se dispune că modalitatea de comunicare prin intermediul faxului sau poștei electronice este permisă cu respectarea procedurilor legale aplicabile, în activitatea membrilor comisiilor de concurs și ai comisiilor de soluționare a contestațiilor, precum și a secretarilor acestora.</w:t>
            </w:r>
          </w:p>
          <w:p w:rsidR="006C385E" w:rsidRPr="000F13EF" w:rsidRDefault="00071F55" w:rsidP="00C7524A">
            <w:pPr>
              <w:pStyle w:val="Title"/>
              <w:spacing w:before="120"/>
              <w:ind w:left="34"/>
              <w:jc w:val="both"/>
              <w:rPr>
                <w:b w:val="0"/>
              </w:rPr>
            </w:pPr>
            <w:r w:rsidRPr="000F13EF">
              <w:rPr>
                <w:b w:val="0"/>
              </w:rPr>
              <w:t>- S</w:t>
            </w:r>
            <w:r w:rsidR="006C385E" w:rsidRPr="000F13EF">
              <w:rPr>
                <w:b w:val="0"/>
              </w:rPr>
              <w:t xml:space="preserve">e </w:t>
            </w:r>
            <w:r w:rsidR="00FC1FF5" w:rsidRPr="000F13EF">
              <w:rPr>
                <w:b w:val="0"/>
              </w:rPr>
              <w:t>propune un</w:t>
            </w:r>
            <w:r w:rsidR="006C385E" w:rsidRPr="000F13EF">
              <w:rPr>
                <w:b w:val="0"/>
              </w:rPr>
              <w:t xml:space="preserve"> format </w:t>
            </w:r>
            <w:r w:rsidR="00FC1FF5" w:rsidRPr="000F13EF">
              <w:rPr>
                <w:b w:val="0"/>
              </w:rPr>
              <w:t xml:space="preserve">orientativ </w:t>
            </w:r>
            <w:r w:rsidR="006C385E" w:rsidRPr="000F13EF">
              <w:rPr>
                <w:b w:val="0"/>
              </w:rPr>
              <w:t xml:space="preserve">al </w:t>
            </w:r>
            <w:r w:rsidR="00A751BA" w:rsidRPr="000F13EF">
              <w:rPr>
                <w:b w:val="0"/>
              </w:rPr>
              <w:t>prezentării, în vederea constituirii dosarelor de concurs sau examen, a informațiilor privind</w:t>
            </w:r>
            <w:r w:rsidR="006C385E" w:rsidRPr="000F13EF">
              <w:rPr>
                <w:b w:val="0"/>
              </w:rPr>
              <w:t xml:space="preserve"> </w:t>
            </w:r>
            <w:r w:rsidR="00FC1FF5" w:rsidRPr="000F13EF">
              <w:rPr>
                <w:b w:val="0"/>
              </w:rPr>
              <w:t>vechimea în specialitatea studiilor</w:t>
            </w:r>
            <w:r w:rsidR="00C2617F" w:rsidRPr="000F13EF">
              <w:rPr>
                <w:b w:val="0"/>
              </w:rPr>
              <w:t>.</w:t>
            </w:r>
          </w:p>
          <w:p w:rsidR="006C385E" w:rsidRPr="000F13EF" w:rsidRDefault="00C7524A" w:rsidP="00FC1FF5">
            <w:pPr>
              <w:pStyle w:val="Title"/>
              <w:spacing w:before="120"/>
              <w:ind w:left="34"/>
              <w:jc w:val="both"/>
              <w:rPr>
                <w:b w:val="0"/>
              </w:rPr>
            </w:pPr>
            <w:r w:rsidRPr="000F13EF">
              <w:rPr>
                <w:b w:val="0"/>
              </w:rPr>
              <w:t xml:space="preserve">Pentru integrarea aspectelor reglementate, se introduce o </w:t>
            </w:r>
            <w:r w:rsidR="00071F55" w:rsidRPr="000F13EF">
              <w:rPr>
                <w:b w:val="0"/>
              </w:rPr>
              <w:t xml:space="preserve">nouă </w:t>
            </w:r>
            <w:r w:rsidRPr="000F13EF">
              <w:rPr>
                <w:b w:val="0"/>
              </w:rPr>
              <w:t>anexă cu modelul standard al borderoului de predare a lucrărilor</w:t>
            </w:r>
            <w:r w:rsidR="00C2617F" w:rsidRPr="000F13EF">
              <w:rPr>
                <w:b w:val="0"/>
              </w:rPr>
              <w:t xml:space="preserve">, </w:t>
            </w:r>
            <w:r w:rsidRPr="000F13EF">
              <w:rPr>
                <w:b w:val="0"/>
              </w:rPr>
              <w:t xml:space="preserve">o anexă cu </w:t>
            </w:r>
            <w:r w:rsidR="00071F55" w:rsidRPr="000F13EF">
              <w:rPr>
                <w:b w:val="0"/>
              </w:rPr>
              <w:t xml:space="preserve">un nou </w:t>
            </w:r>
            <w:r w:rsidRPr="000F13EF">
              <w:rPr>
                <w:b w:val="0"/>
              </w:rPr>
              <w:t>mode</w:t>
            </w:r>
            <w:r w:rsidR="00071F55" w:rsidRPr="000F13EF">
              <w:rPr>
                <w:b w:val="0"/>
              </w:rPr>
              <w:t>l</w:t>
            </w:r>
            <w:r w:rsidRPr="000F13EF">
              <w:rPr>
                <w:b w:val="0"/>
              </w:rPr>
              <w:t xml:space="preserve"> standard al formularului de înscriere la concurs</w:t>
            </w:r>
            <w:r w:rsidR="00C2617F" w:rsidRPr="000F13EF">
              <w:rPr>
                <w:b w:val="0"/>
              </w:rPr>
              <w:t xml:space="preserve">, precum </w:t>
            </w:r>
            <w:r w:rsidR="00071F55" w:rsidRPr="000F13EF">
              <w:rPr>
                <w:b w:val="0"/>
              </w:rPr>
              <w:t>ș</w:t>
            </w:r>
            <w:r w:rsidR="00C2617F" w:rsidRPr="000F13EF">
              <w:rPr>
                <w:b w:val="0"/>
              </w:rPr>
              <w:t>i o anex</w:t>
            </w:r>
            <w:r w:rsidR="00071F55" w:rsidRPr="000F13EF">
              <w:rPr>
                <w:b w:val="0"/>
              </w:rPr>
              <w:t>ă</w:t>
            </w:r>
            <w:r w:rsidR="00C2617F" w:rsidRPr="000F13EF">
              <w:rPr>
                <w:b w:val="0"/>
              </w:rPr>
              <w:t xml:space="preserve"> care cuprinde formatul </w:t>
            </w:r>
            <w:r w:rsidR="00FC1FF5" w:rsidRPr="000F13EF">
              <w:rPr>
                <w:b w:val="0"/>
              </w:rPr>
              <w:t xml:space="preserve">orientativ </w:t>
            </w:r>
            <w:r w:rsidR="00C2617F" w:rsidRPr="000F13EF">
              <w:rPr>
                <w:b w:val="0"/>
              </w:rPr>
              <w:t>al adeverin</w:t>
            </w:r>
            <w:r w:rsidR="00071F55" w:rsidRPr="000F13EF">
              <w:rPr>
                <w:b w:val="0"/>
              </w:rPr>
              <w:t>ț</w:t>
            </w:r>
            <w:r w:rsidR="00C2617F" w:rsidRPr="000F13EF">
              <w:rPr>
                <w:b w:val="0"/>
              </w:rPr>
              <w:t>ei de vechime</w:t>
            </w:r>
            <w:r w:rsidR="00CE6D58" w:rsidRPr="000F13EF">
              <w:rPr>
                <w:b w:val="0"/>
              </w:rPr>
              <w:t xml:space="preserve"> (prin preluarea modelului reglementat în prezent prin Ordinul președintelui Agenției Naționale a Funcționarilor Publici nr. 192/2013 pentru aprobarea formatului standard al adeverinţei care atestă vechimea în muncă şi vechimea în specialitatea studiilor)</w:t>
            </w:r>
            <w:r w:rsidR="00C2617F" w:rsidRPr="000F13EF">
              <w:rPr>
                <w:b w:val="0"/>
              </w:rPr>
              <w:t>.</w:t>
            </w:r>
          </w:p>
        </w:tc>
      </w:tr>
      <w:tr w:rsidR="00CE0F29" w:rsidRPr="000F13EF" w:rsidTr="00E77CC1">
        <w:tc>
          <w:tcPr>
            <w:tcW w:w="2658" w:type="dxa"/>
            <w:shd w:val="clear" w:color="auto" w:fill="auto"/>
          </w:tcPr>
          <w:p w:rsidR="00CE0F29" w:rsidRPr="000F13EF" w:rsidRDefault="004A26D1" w:rsidP="00B83DFA">
            <w:r w:rsidRPr="000F13EF">
              <w:lastRenderedPageBreak/>
              <w:t xml:space="preserve">3. Alte informaţii </w:t>
            </w:r>
          </w:p>
        </w:tc>
        <w:tc>
          <w:tcPr>
            <w:tcW w:w="7530" w:type="dxa"/>
            <w:gridSpan w:val="9"/>
            <w:shd w:val="clear" w:color="auto" w:fill="auto"/>
          </w:tcPr>
          <w:p w:rsidR="00CE0F29" w:rsidRPr="000F13EF" w:rsidRDefault="007D7EDB" w:rsidP="00CE0F29">
            <w:r w:rsidRPr="000F13EF">
              <w:t>Proiectul de act normativ nu se referă la acest subiect.</w:t>
            </w:r>
          </w:p>
        </w:tc>
      </w:tr>
      <w:tr w:rsidR="004A26D1" w:rsidRPr="000F13EF" w:rsidTr="003A1764">
        <w:tc>
          <w:tcPr>
            <w:tcW w:w="10188" w:type="dxa"/>
            <w:gridSpan w:val="10"/>
            <w:shd w:val="clear" w:color="auto" w:fill="auto"/>
          </w:tcPr>
          <w:p w:rsidR="004A26D1" w:rsidRPr="000F13EF" w:rsidRDefault="004A26D1" w:rsidP="004A26D1">
            <w:pPr>
              <w:rPr>
                <w:b/>
                <w:i/>
              </w:rPr>
            </w:pPr>
            <w:r w:rsidRPr="000F13EF">
              <w:rPr>
                <w:b/>
                <w:i/>
              </w:rPr>
              <w:t>Sec</w:t>
            </w:r>
            <w:r w:rsidR="00280BFB" w:rsidRPr="000F13EF">
              <w:rPr>
                <w:b/>
                <w:i/>
              </w:rPr>
              <w:t>ţ</w:t>
            </w:r>
            <w:r w:rsidRPr="000F13EF">
              <w:rPr>
                <w:b/>
                <w:i/>
              </w:rPr>
              <w:t xml:space="preserve">iunea a 3-a                                                                                </w:t>
            </w:r>
          </w:p>
          <w:p w:rsidR="00B83DFA" w:rsidRPr="000F13EF" w:rsidRDefault="004A26D1" w:rsidP="00B83DFA">
            <w:r w:rsidRPr="000F13EF">
              <w:rPr>
                <w:b/>
                <w:i/>
              </w:rPr>
              <w:t>Impactul socioeconomic al proiectului de act normativ</w:t>
            </w:r>
          </w:p>
        </w:tc>
      </w:tr>
      <w:tr w:rsidR="00CE0F29" w:rsidRPr="000F13EF" w:rsidTr="00E77CC1">
        <w:tc>
          <w:tcPr>
            <w:tcW w:w="4545" w:type="dxa"/>
            <w:gridSpan w:val="3"/>
            <w:shd w:val="clear" w:color="auto" w:fill="auto"/>
          </w:tcPr>
          <w:p w:rsidR="00CE0F29" w:rsidRPr="000F13EF" w:rsidRDefault="004A26D1" w:rsidP="00CE0F29">
            <w:r w:rsidRPr="000F13EF">
              <w:t>1. Impactul macroeconomic</w:t>
            </w:r>
          </w:p>
        </w:tc>
        <w:tc>
          <w:tcPr>
            <w:tcW w:w="5643" w:type="dxa"/>
            <w:gridSpan w:val="7"/>
            <w:shd w:val="clear" w:color="auto" w:fill="auto"/>
          </w:tcPr>
          <w:p w:rsidR="00CE0F29" w:rsidRPr="000F13EF" w:rsidRDefault="00D4634A" w:rsidP="00CE0F29">
            <w:r w:rsidRPr="000F13EF">
              <w:t>Proiectul de act normativ nu se referă la acest subiect.</w:t>
            </w:r>
          </w:p>
        </w:tc>
      </w:tr>
      <w:tr w:rsidR="00CE0F29" w:rsidRPr="000F13EF" w:rsidTr="00E77CC1">
        <w:tc>
          <w:tcPr>
            <w:tcW w:w="4545" w:type="dxa"/>
            <w:gridSpan w:val="3"/>
            <w:shd w:val="clear" w:color="auto" w:fill="auto"/>
          </w:tcPr>
          <w:p w:rsidR="00CE0F29" w:rsidRPr="000F13EF" w:rsidRDefault="004A26D1" w:rsidP="004A26D1">
            <w:r w:rsidRPr="000F13EF">
              <w:t>1</w:t>
            </w:r>
            <w:r w:rsidRPr="000F13EF">
              <w:rPr>
                <w:vertAlign w:val="superscript"/>
              </w:rPr>
              <w:t>1</w:t>
            </w:r>
            <w:r w:rsidRPr="000F13EF">
              <w:t>. Impactul asupra mediului concuren</w:t>
            </w:r>
            <w:r w:rsidR="00280BFB" w:rsidRPr="000F13EF">
              <w:t>ţ</w:t>
            </w:r>
            <w:r w:rsidRPr="000F13EF">
              <w:t>ial si domeniului</w:t>
            </w:r>
            <w:r w:rsidR="00280BFB" w:rsidRPr="000F13EF">
              <w:t xml:space="preserve"> </w:t>
            </w:r>
            <w:r w:rsidRPr="000F13EF">
              <w:t>ajutoarelor de stat</w:t>
            </w:r>
          </w:p>
        </w:tc>
        <w:tc>
          <w:tcPr>
            <w:tcW w:w="5643" w:type="dxa"/>
            <w:gridSpan w:val="7"/>
            <w:shd w:val="clear" w:color="auto" w:fill="auto"/>
          </w:tcPr>
          <w:p w:rsidR="00CE0F29" w:rsidRPr="000F13EF" w:rsidRDefault="00D4634A" w:rsidP="00CE0F29">
            <w:r w:rsidRPr="000F13EF">
              <w:t>Proiectul de act normativ nu se referă la acest subiect.</w:t>
            </w:r>
          </w:p>
        </w:tc>
      </w:tr>
      <w:tr w:rsidR="00CE0F29" w:rsidRPr="000F13EF" w:rsidTr="00E77CC1">
        <w:tc>
          <w:tcPr>
            <w:tcW w:w="4545" w:type="dxa"/>
            <w:gridSpan w:val="3"/>
            <w:shd w:val="clear" w:color="auto" w:fill="auto"/>
          </w:tcPr>
          <w:p w:rsidR="00CE0F29" w:rsidRPr="000F13EF" w:rsidRDefault="00280BFB" w:rsidP="00CE0F29">
            <w:r w:rsidRPr="000F13EF">
              <w:t>2. Impactul asupra mediului de afaceri</w:t>
            </w:r>
          </w:p>
        </w:tc>
        <w:tc>
          <w:tcPr>
            <w:tcW w:w="5643" w:type="dxa"/>
            <w:gridSpan w:val="7"/>
            <w:shd w:val="clear" w:color="auto" w:fill="auto"/>
          </w:tcPr>
          <w:p w:rsidR="00CE0F29" w:rsidRPr="000F13EF" w:rsidRDefault="00D4634A" w:rsidP="00CE0F29">
            <w:r w:rsidRPr="000F13EF">
              <w:t>Proiectul de act normativ nu se referă la acest subiect.</w:t>
            </w:r>
          </w:p>
        </w:tc>
      </w:tr>
      <w:tr w:rsidR="00B45D92" w:rsidRPr="000F13EF" w:rsidTr="00E77CC1">
        <w:tc>
          <w:tcPr>
            <w:tcW w:w="4545" w:type="dxa"/>
            <w:gridSpan w:val="3"/>
            <w:shd w:val="clear" w:color="auto" w:fill="auto"/>
          </w:tcPr>
          <w:p w:rsidR="00B45D92" w:rsidRPr="000F13EF" w:rsidRDefault="00B45D92" w:rsidP="00CE0F29">
            <w:r w:rsidRPr="000F13EF">
              <w:t>2</w:t>
            </w:r>
            <w:r w:rsidRPr="000F13EF">
              <w:rPr>
                <w:vertAlign w:val="superscript"/>
              </w:rPr>
              <w:t>1</w:t>
            </w:r>
            <w:r w:rsidRPr="000F13EF">
              <w:t>.Impactul asupra sarcinilor administrative</w:t>
            </w:r>
          </w:p>
        </w:tc>
        <w:tc>
          <w:tcPr>
            <w:tcW w:w="5643" w:type="dxa"/>
            <w:gridSpan w:val="7"/>
            <w:shd w:val="clear" w:color="auto" w:fill="auto"/>
          </w:tcPr>
          <w:p w:rsidR="00B45D92" w:rsidRPr="000F13EF" w:rsidRDefault="00B45D92" w:rsidP="00993871">
            <w:r w:rsidRPr="000F13EF">
              <w:t>Proiectul de act normativ nu se referă la acest subiect.</w:t>
            </w:r>
          </w:p>
        </w:tc>
      </w:tr>
      <w:tr w:rsidR="00303F7F" w:rsidRPr="000F13EF" w:rsidTr="00E77CC1">
        <w:tc>
          <w:tcPr>
            <w:tcW w:w="4545" w:type="dxa"/>
            <w:gridSpan w:val="3"/>
            <w:shd w:val="clear" w:color="auto" w:fill="auto"/>
          </w:tcPr>
          <w:p w:rsidR="00303F7F" w:rsidRPr="000F13EF" w:rsidRDefault="00303F7F" w:rsidP="00303F7F">
            <w:pPr>
              <w:jc w:val="both"/>
            </w:pPr>
            <w:r w:rsidRPr="000F13EF">
              <w:t>2</w:t>
            </w:r>
            <w:r w:rsidRPr="000F13EF">
              <w:rPr>
                <w:vertAlign w:val="superscript"/>
              </w:rPr>
              <w:t>2</w:t>
            </w:r>
            <w:r w:rsidRPr="000F13EF">
              <w:t>Impactul asupra întreprinderilor micii și mijlocii</w:t>
            </w:r>
          </w:p>
        </w:tc>
        <w:tc>
          <w:tcPr>
            <w:tcW w:w="5643" w:type="dxa"/>
            <w:gridSpan w:val="7"/>
            <w:shd w:val="clear" w:color="auto" w:fill="auto"/>
          </w:tcPr>
          <w:p w:rsidR="00303F7F" w:rsidRPr="000F13EF" w:rsidRDefault="00303F7F" w:rsidP="00CE0F29">
            <w:r w:rsidRPr="000F13EF">
              <w:t>Proiectul de act normativ nu se referă la acest subiect</w:t>
            </w:r>
          </w:p>
        </w:tc>
      </w:tr>
      <w:tr w:rsidR="00B45D92" w:rsidRPr="000F13EF" w:rsidTr="00E77CC1">
        <w:tc>
          <w:tcPr>
            <w:tcW w:w="4545" w:type="dxa"/>
            <w:gridSpan w:val="3"/>
            <w:shd w:val="clear" w:color="auto" w:fill="auto"/>
          </w:tcPr>
          <w:p w:rsidR="00B45D92" w:rsidRPr="000F13EF" w:rsidRDefault="00B45D92" w:rsidP="00CE0F29">
            <w:r w:rsidRPr="000F13EF">
              <w:t>3. Impactul social</w:t>
            </w:r>
          </w:p>
        </w:tc>
        <w:tc>
          <w:tcPr>
            <w:tcW w:w="5643" w:type="dxa"/>
            <w:gridSpan w:val="7"/>
            <w:shd w:val="clear" w:color="auto" w:fill="auto"/>
          </w:tcPr>
          <w:p w:rsidR="00B45D92" w:rsidRPr="000F13EF" w:rsidRDefault="00B45D92" w:rsidP="00993871">
            <w:r w:rsidRPr="000F13EF">
              <w:t>Proiectul de act normativ nu se referă la acest subiect.</w:t>
            </w:r>
          </w:p>
        </w:tc>
      </w:tr>
      <w:tr w:rsidR="00CE0F29" w:rsidRPr="000F13EF" w:rsidTr="00E77CC1">
        <w:tc>
          <w:tcPr>
            <w:tcW w:w="4545" w:type="dxa"/>
            <w:gridSpan w:val="3"/>
            <w:shd w:val="clear" w:color="auto" w:fill="auto"/>
          </w:tcPr>
          <w:p w:rsidR="00CE0F29" w:rsidRPr="000F13EF" w:rsidRDefault="00280BFB" w:rsidP="00CE0F29">
            <w:r w:rsidRPr="000F13EF">
              <w:t>4. Impactul asupra mediului</w:t>
            </w:r>
          </w:p>
        </w:tc>
        <w:tc>
          <w:tcPr>
            <w:tcW w:w="5643" w:type="dxa"/>
            <w:gridSpan w:val="7"/>
            <w:shd w:val="clear" w:color="auto" w:fill="auto"/>
          </w:tcPr>
          <w:p w:rsidR="00CE0F29" w:rsidRPr="000F13EF" w:rsidRDefault="00D4634A" w:rsidP="00CE0F29">
            <w:r w:rsidRPr="000F13EF">
              <w:t>Proiectul de act normativ nu se referă la acest subiect.</w:t>
            </w:r>
          </w:p>
        </w:tc>
      </w:tr>
      <w:tr w:rsidR="00E77CC1" w:rsidRPr="000F13EF" w:rsidTr="00E77CC1">
        <w:tc>
          <w:tcPr>
            <w:tcW w:w="4545" w:type="dxa"/>
            <w:gridSpan w:val="3"/>
            <w:shd w:val="clear" w:color="auto" w:fill="auto"/>
          </w:tcPr>
          <w:p w:rsidR="00E77CC1" w:rsidRPr="000F13EF" w:rsidRDefault="00E77CC1" w:rsidP="00CE0F29">
            <w:r w:rsidRPr="000F13EF">
              <w:t>5. Alte informații</w:t>
            </w:r>
          </w:p>
        </w:tc>
        <w:tc>
          <w:tcPr>
            <w:tcW w:w="5643" w:type="dxa"/>
            <w:gridSpan w:val="7"/>
            <w:shd w:val="clear" w:color="auto" w:fill="auto"/>
          </w:tcPr>
          <w:p w:rsidR="00E77CC1" w:rsidRPr="000F13EF" w:rsidRDefault="00E77CC1" w:rsidP="00C92973">
            <w:r w:rsidRPr="000F13EF">
              <w:t>Proiectul de act normativ nu se referă la acest subiect.</w:t>
            </w:r>
          </w:p>
        </w:tc>
      </w:tr>
      <w:tr w:rsidR="00E77CC1" w:rsidRPr="000F13EF" w:rsidTr="003A1764">
        <w:tc>
          <w:tcPr>
            <w:tcW w:w="10188" w:type="dxa"/>
            <w:gridSpan w:val="10"/>
            <w:shd w:val="clear" w:color="auto" w:fill="auto"/>
          </w:tcPr>
          <w:p w:rsidR="00E77CC1" w:rsidRPr="000F13EF" w:rsidRDefault="00E77CC1" w:rsidP="00280BFB">
            <w:pPr>
              <w:rPr>
                <w:b/>
                <w:i/>
              </w:rPr>
            </w:pPr>
            <w:r w:rsidRPr="000F13EF">
              <w:rPr>
                <w:b/>
                <w:i/>
              </w:rPr>
              <w:lastRenderedPageBreak/>
              <w:t xml:space="preserve">Secţiunea a 4-a                                                                                </w:t>
            </w:r>
          </w:p>
          <w:p w:rsidR="00B83DFA" w:rsidRPr="000F13EF" w:rsidRDefault="00E77CC1" w:rsidP="00B83DFA">
            <w:pPr>
              <w:rPr>
                <w:b/>
                <w:i/>
              </w:rPr>
            </w:pPr>
            <w:r w:rsidRPr="000F13EF">
              <w:rPr>
                <w:b/>
                <w:i/>
              </w:rPr>
              <w:t>Impactul financiar asupra bugetului general consolidat, atât pe termen scurt, pentru anul curent, cat si pe termen lung (pe 5 ani)</w:t>
            </w:r>
          </w:p>
        </w:tc>
      </w:tr>
      <w:tr w:rsidR="00E77CC1" w:rsidRPr="000F13EF" w:rsidTr="003A1764">
        <w:tc>
          <w:tcPr>
            <w:tcW w:w="10188" w:type="dxa"/>
            <w:gridSpan w:val="10"/>
            <w:shd w:val="clear" w:color="auto" w:fill="auto"/>
          </w:tcPr>
          <w:p w:rsidR="00E77CC1" w:rsidRPr="000F13EF" w:rsidRDefault="00E77CC1" w:rsidP="00C92F1C">
            <w:pPr>
              <w:jc w:val="both"/>
            </w:pPr>
            <w:r w:rsidRPr="000F13EF">
              <w:t>- mii lei -|</w:t>
            </w:r>
          </w:p>
        </w:tc>
      </w:tr>
      <w:tr w:rsidR="00E77CC1" w:rsidRPr="000F13EF" w:rsidTr="00E77CC1">
        <w:tc>
          <w:tcPr>
            <w:tcW w:w="4786" w:type="dxa"/>
            <w:gridSpan w:val="4"/>
            <w:shd w:val="clear" w:color="auto" w:fill="auto"/>
          </w:tcPr>
          <w:p w:rsidR="00E77CC1" w:rsidRPr="000F13EF" w:rsidRDefault="00E77CC1" w:rsidP="003A1764">
            <w:pPr>
              <w:jc w:val="center"/>
            </w:pPr>
            <w:r w:rsidRPr="000F13EF">
              <w:t>Indicatori</w:t>
            </w:r>
          </w:p>
        </w:tc>
        <w:tc>
          <w:tcPr>
            <w:tcW w:w="900" w:type="dxa"/>
            <w:shd w:val="clear" w:color="auto" w:fill="auto"/>
          </w:tcPr>
          <w:p w:rsidR="00E77CC1" w:rsidRPr="000F13EF" w:rsidRDefault="00E77CC1" w:rsidP="003A1764">
            <w:pPr>
              <w:jc w:val="center"/>
            </w:pPr>
            <w:r w:rsidRPr="000F13EF">
              <w:t>Anul curent</w:t>
            </w:r>
          </w:p>
          <w:p w:rsidR="00E77CC1" w:rsidRPr="000F13EF" w:rsidRDefault="00E77CC1" w:rsidP="003A1764">
            <w:pPr>
              <w:jc w:val="center"/>
            </w:pPr>
            <w:r w:rsidRPr="000F13EF">
              <w:t>2017</w:t>
            </w:r>
          </w:p>
        </w:tc>
        <w:tc>
          <w:tcPr>
            <w:tcW w:w="3600" w:type="dxa"/>
            <w:gridSpan w:val="4"/>
            <w:shd w:val="clear" w:color="auto" w:fill="auto"/>
          </w:tcPr>
          <w:p w:rsidR="00E77CC1" w:rsidRPr="000F13EF" w:rsidRDefault="00E77CC1" w:rsidP="003A1764">
            <w:pPr>
              <w:jc w:val="center"/>
            </w:pPr>
            <w:r w:rsidRPr="000F13EF">
              <w:t>Următorii 4 ani</w:t>
            </w:r>
          </w:p>
          <w:p w:rsidR="00E77CC1" w:rsidRPr="000F13EF" w:rsidRDefault="00E77CC1" w:rsidP="005C68CF">
            <w:r w:rsidRPr="000F13EF">
              <w:t>2018        2019        2020      2021</w:t>
            </w:r>
          </w:p>
        </w:tc>
        <w:tc>
          <w:tcPr>
            <w:tcW w:w="902" w:type="dxa"/>
            <w:shd w:val="clear" w:color="auto" w:fill="auto"/>
          </w:tcPr>
          <w:p w:rsidR="00E77CC1" w:rsidRPr="000F13EF" w:rsidRDefault="00E77CC1" w:rsidP="003A1764">
            <w:pPr>
              <w:jc w:val="center"/>
            </w:pPr>
            <w:r w:rsidRPr="000F13EF">
              <w:t>Media pe 5 ani</w:t>
            </w:r>
          </w:p>
        </w:tc>
      </w:tr>
      <w:tr w:rsidR="00E77CC1" w:rsidRPr="000F13EF" w:rsidTr="00E77CC1">
        <w:trPr>
          <w:trHeight w:val="282"/>
        </w:trPr>
        <w:tc>
          <w:tcPr>
            <w:tcW w:w="4786" w:type="dxa"/>
            <w:gridSpan w:val="4"/>
            <w:shd w:val="clear" w:color="auto" w:fill="auto"/>
          </w:tcPr>
          <w:p w:rsidR="00E77CC1" w:rsidRPr="000F13EF" w:rsidRDefault="00E77CC1" w:rsidP="003A1764">
            <w:pPr>
              <w:jc w:val="center"/>
            </w:pPr>
            <w:r w:rsidRPr="000F13EF">
              <w:t>1</w:t>
            </w:r>
          </w:p>
        </w:tc>
        <w:tc>
          <w:tcPr>
            <w:tcW w:w="900" w:type="dxa"/>
            <w:shd w:val="clear" w:color="auto" w:fill="auto"/>
          </w:tcPr>
          <w:p w:rsidR="00E77CC1" w:rsidRPr="000F13EF" w:rsidRDefault="00E77CC1" w:rsidP="003A1764">
            <w:pPr>
              <w:jc w:val="center"/>
            </w:pPr>
            <w:r w:rsidRPr="000F13EF">
              <w:t>2</w:t>
            </w:r>
          </w:p>
        </w:tc>
        <w:tc>
          <w:tcPr>
            <w:tcW w:w="900" w:type="dxa"/>
            <w:shd w:val="clear" w:color="auto" w:fill="auto"/>
          </w:tcPr>
          <w:p w:rsidR="00E77CC1" w:rsidRPr="000F13EF" w:rsidRDefault="00E77CC1" w:rsidP="003A1764">
            <w:pPr>
              <w:jc w:val="center"/>
            </w:pPr>
            <w:r w:rsidRPr="000F13EF">
              <w:t>3</w:t>
            </w:r>
          </w:p>
        </w:tc>
        <w:tc>
          <w:tcPr>
            <w:tcW w:w="900" w:type="dxa"/>
            <w:shd w:val="clear" w:color="auto" w:fill="auto"/>
          </w:tcPr>
          <w:p w:rsidR="00E77CC1" w:rsidRPr="000F13EF" w:rsidRDefault="00E77CC1" w:rsidP="003A1764">
            <w:pPr>
              <w:jc w:val="center"/>
            </w:pPr>
            <w:r w:rsidRPr="000F13EF">
              <w:t>4</w:t>
            </w:r>
          </w:p>
        </w:tc>
        <w:tc>
          <w:tcPr>
            <w:tcW w:w="900" w:type="dxa"/>
            <w:shd w:val="clear" w:color="auto" w:fill="auto"/>
          </w:tcPr>
          <w:p w:rsidR="00E77CC1" w:rsidRPr="000F13EF" w:rsidRDefault="00E77CC1" w:rsidP="003A1764">
            <w:pPr>
              <w:jc w:val="center"/>
            </w:pPr>
            <w:r w:rsidRPr="000F13EF">
              <w:t>5</w:t>
            </w:r>
          </w:p>
        </w:tc>
        <w:tc>
          <w:tcPr>
            <w:tcW w:w="900" w:type="dxa"/>
            <w:shd w:val="clear" w:color="auto" w:fill="auto"/>
          </w:tcPr>
          <w:p w:rsidR="00E77CC1" w:rsidRPr="000F13EF" w:rsidRDefault="00E77CC1" w:rsidP="003A1764">
            <w:pPr>
              <w:jc w:val="center"/>
            </w:pPr>
            <w:r w:rsidRPr="000F13EF">
              <w:t>6</w:t>
            </w:r>
          </w:p>
        </w:tc>
        <w:tc>
          <w:tcPr>
            <w:tcW w:w="902" w:type="dxa"/>
            <w:shd w:val="clear" w:color="auto" w:fill="auto"/>
          </w:tcPr>
          <w:p w:rsidR="00E77CC1" w:rsidRPr="000F13EF" w:rsidRDefault="00E77CC1" w:rsidP="003A1764">
            <w:pPr>
              <w:jc w:val="center"/>
            </w:pPr>
            <w:r w:rsidRPr="000F13EF">
              <w:t>7</w:t>
            </w:r>
          </w:p>
        </w:tc>
      </w:tr>
      <w:tr w:rsidR="00E77CC1" w:rsidRPr="000F13EF" w:rsidTr="00E77CC1">
        <w:trPr>
          <w:trHeight w:val="279"/>
        </w:trPr>
        <w:tc>
          <w:tcPr>
            <w:tcW w:w="4786" w:type="dxa"/>
            <w:gridSpan w:val="4"/>
            <w:shd w:val="clear" w:color="auto" w:fill="auto"/>
          </w:tcPr>
          <w:p w:rsidR="00E77CC1" w:rsidRPr="000F13EF" w:rsidRDefault="00E77CC1" w:rsidP="00B45D92">
            <w:r w:rsidRPr="000F13EF">
              <w:t>1. Modificări ale veniturilor bugetare</w:t>
            </w:r>
          </w:p>
          <w:p w:rsidR="00E77CC1" w:rsidRPr="000F13EF" w:rsidRDefault="00E77CC1" w:rsidP="009F6830">
            <w:r w:rsidRPr="000F13EF">
              <w:t xml:space="preserve">   plus/minus, din care:                                      </w:t>
            </w:r>
          </w:p>
          <w:p w:rsidR="00E77CC1" w:rsidRPr="000F13EF" w:rsidRDefault="00E77CC1" w:rsidP="009F6830">
            <w:r w:rsidRPr="000F13EF">
              <w:t>a) buget de stat, din acesta</w:t>
            </w:r>
          </w:p>
          <w:p w:rsidR="00E77CC1" w:rsidRPr="000F13EF" w:rsidRDefault="00E77CC1" w:rsidP="009F6830">
            <w:r w:rsidRPr="000F13EF">
              <w:t xml:space="preserve">  (i) impozit pe profit                                      </w:t>
            </w:r>
          </w:p>
          <w:p w:rsidR="00E77CC1" w:rsidRPr="000F13EF" w:rsidRDefault="00E77CC1" w:rsidP="009F6830">
            <w:r w:rsidRPr="000F13EF">
              <w:t xml:space="preserve">   (ii) impozit pe </w:t>
            </w:r>
          </w:p>
          <w:p w:rsidR="00E77CC1" w:rsidRPr="000F13EF" w:rsidRDefault="00E77CC1" w:rsidP="009F6830">
            <w:r w:rsidRPr="000F13EF">
              <w:t>b) bugete locale</w:t>
            </w:r>
          </w:p>
          <w:p w:rsidR="00E77CC1" w:rsidRPr="000F13EF" w:rsidRDefault="00E77CC1" w:rsidP="009F6830">
            <w:r w:rsidRPr="000F13EF">
              <w:t xml:space="preserve">   (i) impozit pe profit                                      </w:t>
            </w:r>
          </w:p>
          <w:p w:rsidR="00E77CC1" w:rsidRPr="000F13EF" w:rsidRDefault="00E77CC1" w:rsidP="009F6830">
            <w:r w:rsidRPr="000F13EF">
              <w:t xml:space="preserve">c) bugetul asigurărilor sociale de stat:                      </w:t>
            </w:r>
          </w:p>
          <w:p w:rsidR="00E77CC1" w:rsidRPr="000F13EF" w:rsidRDefault="00E77CC1" w:rsidP="009F6830">
            <w:r w:rsidRPr="000F13EF">
              <w:t xml:space="preserve">   (i) contribuţii de asigurări                  </w:t>
            </w:r>
          </w:p>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2" w:type="dxa"/>
            <w:shd w:val="clear" w:color="auto" w:fill="auto"/>
          </w:tcPr>
          <w:p w:rsidR="00E77CC1" w:rsidRPr="000F13EF" w:rsidRDefault="00E77CC1" w:rsidP="00CE0F29"/>
        </w:tc>
      </w:tr>
      <w:tr w:rsidR="00E77CC1" w:rsidRPr="000F13EF" w:rsidTr="00E77CC1">
        <w:trPr>
          <w:trHeight w:val="279"/>
        </w:trPr>
        <w:tc>
          <w:tcPr>
            <w:tcW w:w="4786" w:type="dxa"/>
            <w:gridSpan w:val="4"/>
            <w:shd w:val="clear" w:color="auto" w:fill="auto"/>
          </w:tcPr>
          <w:p w:rsidR="00E77CC1" w:rsidRPr="000F13EF" w:rsidRDefault="00E77CC1" w:rsidP="005D2A89">
            <w:r w:rsidRPr="000F13EF">
              <w:t>2. Modificări ale cheltuielilor bugetare, plus/minus, din care</w:t>
            </w:r>
          </w:p>
          <w:p w:rsidR="00E77CC1" w:rsidRPr="000F13EF" w:rsidRDefault="00E77CC1" w:rsidP="005D2A89">
            <w:r w:rsidRPr="000F13EF">
              <w:t>a) buget de stat, din acesta</w:t>
            </w:r>
          </w:p>
          <w:p w:rsidR="00E77CC1" w:rsidRPr="000F13EF" w:rsidRDefault="00E77CC1" w:rsidP="005D2A89">
            <w:r w:rsidRPr="000F13EF">
              <w:t xml:space="preserve">   (i) cheltuieli de personal</w:t>
            </w:r>
          </w:p>
          <w:p w:rsidR="00E77CC1" w:rsidRPr="000F13EF" w:rsidRDefault="00E77CC1" w:rsidP="005D2A89">
            <w:r w:rsidRPr="000F13EF">
              <w:t xml:space="preserve">   (ii) bunuri şi  servicii</w:t>
            </w:r>
          </w:p>
          <w:p w:rsidR="00E77CC1" w:rsidRPr="000F13EF" w:rsidRDefault="00E77CC1" w:rsidP="005D2A89">
            <w:r w:rsidRPr="000F13EF">
              <w:t>b) bugete locale</w:t>
            </w:r>
          </w:p>
          <w:p w:rsidR="00E77CC1" w:rsidRPr="000F13EF" w:rsidRDefault="00E77CC1" w:rsidP="005D2A89">
            <w:r w:rsidRPr="000F13EF">
              <w:t xml:space="preserve">   (i) cheltuieli de </w:t>
            </w:r>
          </w:p>
          <w:p w:rsidR="00E77CC1" w:rsidRPr="000F13EF" w:rsidRDefault="00E77CC1" w:rsidP="005D2A89">
            <w:r w:rsidRPr="000F13EF">
              <w:t xml:space="preserve">   (ii) bunuri si servicii                                    </w:t>
            </w:r>
          </w:p>
          <w:p w:rsidR="00E77CC1" w:rsidRPr="000F13EF" w:rsidRDefault="00E77CC1" w:rsidP="005D2A89">
            <w:r w:rsidRPr="000F13EF">
              <w:t xml:space="preserve">c) bugetul asigurărilor sociale de stat:                      </w:t>
            </w:r>
          </w:p>
          <w:p w:rsidR="00E77CC1" w:rsidRPr="000F13EF" w:rsidRDefault="00E77CC1" w:rsidP="005D2A89">
            <w:r w:rsidRPr="000F13EF">
              <w:t xml:space="preserve">   (i) cheltuieli de </w:t>
            </w:r>
          </w:p>
          <w:p w:rsidR="00E77CC1" w:rsidRPr="000F13EF" w:rsidRDefault="00E77CC1" w:rsidP="005D2A89">
            <w:r w:rsidRPr="000F13EF">
              <w:t xml:space="preserve">   (ii) bunuri si servicii  </w:t>
            </w: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2" w:type="dxa"/>
            <w:shd w:val="clear" w:color="auto" w:fill="auto"/>
          </w:tcPr>
          <w:p w:rsidR="00E77CC1" w:rsidRPr="000F13EF" w:rsidRDefault="00E77CC1" w:rsidP="00CE0F29">
            <w:pPr>
              <w:rPr>
                <w:sz w:val="20"/>
                <w:szCs w:val="20"/>
              </w:rPr>
            </w:pPr>
          </w:p>
        </w:tc>
      </w:tr>
      <w:tr w:rsidR="00E77CC1" w:rsidRPr="000F13EF" w:rsidTr="00E77CC1">
        <w:trPr>
          <w:trHeight w:val="279"/>
        </w:trPr>
        <w:tc>
          <w:tcPr>
            <w:tcW w:w="4786" w:type="dxa"/>
            <w:gridSpan w:val="4"/>
            <w:shd w:val="clear" w:color="auto" w:fill="auto"/>
          </w:tcPr>
          <w:p w:rsidR="00E77CC1" w:rsidRPr="000F13EF" w:rsidRDefault="00E77CC1" w:rsidP="00CE0F29">
            <w:r w:rsidRPr="000F13EF">
              <w:t>3. Impact financiar, plus/minus, din care:</w:t>
            </w:r>
          </w:p>
          <w:p w:rsidR="00E77CC1" w:rsidRPr="000F13EF" w:rsidRDefault="00E77CC1" w:rsidP="00CE0F29">
            <w:r w:rsidRPr="000F13EF">
              <w:t>a) buget de stat</w:t>
            </w:r>
          </w:p>
          <w:p w:rsidR="00E77CC1" w:rsidRPr="000F13EF" w:rsidRDefault="00E77CC1" w:rsidP="00CE0F29">
            <w:r w:rsidRPr="000F13EF">
              <w:t>b) bugete locale</w:t>
            </w:r>
          </w:p>
          <w:p w:rsidR="00E77CC1" w:rsidRPr="000F13EF" w:rsidRDefault="00E77CC1" w:rsidP="00CE0F29"/>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0" w:type="dxa"/>
            <w:shd w:val="clear" w:color="auto" w:fill="auto"/>
          </w:tcPr>
          <w:p w:rsidR="00E77CC1" w:rsidRPr="000F13EF" w:rsidRDefault="00E77CC1" w:rsidP="00CE0F29">
            <w:pPr>
              <w:rPr>
                <w:sz w:val="20"/>
                <w:szCs w:val="20"/>
              </w:rPr>
            </w:pPr>
          </w:p>
        </w:tc>
        <w:tc>
          <w:tcPr>
            <w:tcW w:w="902" w:type="dxa"/>
            <w:shd w:val="clear" w:color="auto" w:fill="auto"/>
          </w:tcPr>
          <w:p w:rsidR="00E77CC1" w:rsidRPr="000F13EF" w:rsidRDefault="00E77CC1" w:rsidP="00CE0F29">
            <w:pPr>
              <w:rPr>
                <w:sz w:val="20"/>
                <w:szCs w:val="20"/>
              </w:rPr>
            </w:pPr>
          </w:p>
        </w:tc>
      </w:tr>
      <w:tr w:rsidR="00E77CC1" w:rsidRPr="000F13EF" w:rsidTr="00E77CC1">
        <w:trPr>
          <w:trHeight w:val="279"/>
        </w:trPr>
        <w:tc>
          <w:tcPr>
            <w:tcW w:w="4786" w:type="dxa"/>
            <w:gridSpan w:val="4"/>
            <w:shd w:val="clear" w:color="auto" w:fill="auto"/>
          </w:tcPr>
          <w:p w:rsidR="00E77CC1" w:rsidRPr="000F13EF" w:rsidRDefault="00E77CC1" w:rsidP="00CE0F29">
            <w:r w:rsidRPr="000F13EF">
              <w:t>4. Propuneri pentru acoperirea creşterii cheltuielilor bugetare</w:t>
            </w:r>
          </w:p>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2" w:type="dxa"/>
            <w:shd w:val="clear" w:color="auto" w:fill="auto"/>
          </w:tcPr>
          <w:p w:rsidR="00E77CC1" w:rsidRPr="000F13EF" w:rsidRDefault="00E77CC1" w:rsidP="00CE0F29"/>
        </w:tc>
      </w:tr>
      <w:tr w:rsidR="00E77CC1" w:rsidRPr="000F13EF" w:rsidTr="00E77CC1">
        <w:trPr>
          <w:trHeight w:val="279"/>
        </w:trPr>
        <w:tc>
          <w:tcPr>
            <w:tcW w:w="4786" w:type="dxa"/>
            <w:gridSpan w:val="4"/>
            <w:shd w:val="clear" w:color="auto" w:fill="auto"/>
          </w:tcPr>
          <w:p w:rsidR="00E77CC1" w:rsidRPr="000F13EF" w:rsidRDefault="00E77CC1" w:rsidP="00CE0F29">
            <w:r w:rsidRPr="000F13EF">
              <w:t>5. Propuneri pentru a compensa reducerea</w:t>
            </w:r>
          </w:p>
          <w:p w:rsidR="00E77CC1" w:rsidRPr="000F13EF" w:rsidRDefault="00E77CC1" w:rsidP="00CE0F29">
            <w:r w:rsidRPr="000F13EF">
              <w:t xml:space="preserve">    veniturilor bugetare</w:t>
            </w:r>
          </w:p>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2" w:type="dxa"/>
            <w:shd w:val="clear" w:color="auto" w:fill="auto"/>
          </w:tcPr>
          <w:p w:rsidR="00E77CC1" w:rsidRPr="000F13EF" w:rsidRDefault="00E77CC1" w:rsidP="00CE0F29"/>
        </w:tc>
      </w:tr>
      <w:tr w:rsidR="00E77CC1" w:rsidRPr="000F13EF" w:rsidTr="00E77CC1">
        <w:trPr>
          <w:trHeight w:val="279"/>
        </w:trPr>
        <w:tc>
          <w:tcPr>
            <w:tcW w:w="4786" w:type="dxa"/>
            <w:gridSpan w:val="4"/>
            <w:shd w:val="clear" w:color="auto" w:fill="auto"/>
          </w:tcPr>
          <w:p w:rsidR="00E77CC1" w:rsidRPr="000F13EF" w:rsidRDefault="00E77CC1" w:rsidP="00CE0F29">
            <w:r w:rsidRPr="000F13EF">
              <w:t>6. Calcule detaliate privind fundamentarea modificărilor veniturilor si/sau cheltuielilor bugetare</w:t>
            </w:r>
          </w:p>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0" w:type="dxa"/>
            <w:shd w:val="clear" w:color="auto" w:fill="auto"/>
          </w:tcPr>
          <w:p w:rsidR="00E77CC1" w:rsidRPr="000F13EF" w:rsidRDefault="00E77CC1" w:rsidP="00CE0F29"/>
        </w:tc>
        <w:tc>
          <w:tcPr>
            <w:tcW w:w="902" w:type="dxa"/>
            <w:shd w:val="clear" w:color="auto" w:fill="auto"/>
          </w:tcPr>
          <w:p w:rsidR="00E77CC1" w:rsidRPr="000F13EF" w:rsidRDefault="00E77CC1" w:rsidP="00CE0F29"/>
        </w:tc>
      </w:tr>
      <w:tr w:rsidR="00E77CC1" w:rsidRPr="000F13EF" w:rsidTr="00E77CC1">
        <w:trPr>
          <w:trHeight w:val="300"/>
        </w:trPr>
        <w:tc>
          <w:tcPr>
            <w:tcW w:w="4786" w:type="dxa"/>
            <w:gridSpan w:val="4"/>
            <w:shd w:val="clear" w:color="auto" w:fill="auto"/>
          </w:tcPr>
          <w:p w:rsidR="00E77CC1" w:rsidRPr="000F13EF" w:rsidRDefault="00E77CC1" w:rsidP="00CE0F29">
            <w:r w:rsidRPr="000F13EF">
              <w:t>7. Alte informaţii</w:t>
            </w:r>
          </w:p>
        </w:tc>
        <w:tc>
          <w:tcPr>
            <w:tcW w:w="5402" w:type="dxa"/>
            <w:gridSpan w:val="6"/>
            <w:shd w:val="clear" w:color="auto" w:fill="auto"/>
          </w:tcPr>
          <w:p w:rsidR="00E77CC1" w:rsidRPr="000F13EF" w:rsidRDefault="00E77CC1" w:rsidP="00C7524A">
            <w:pPr>
              <w:jc w:val="both"/>
            </w:pPr>
            <w:r w:rsidRPr="000F13EF">
              <w:t xml:space="preserve">Impactul financiar al proiectului de act normativ </w:t>
            </w:r>
            <w:r w:rsidR="00C7524A" w:rsidRPr="000F13EF">
              <w:t xml:space="preserve">în ceea ce privește organizarea și desfășurarea procedurilor de recrutare și selecție </w:t>
            </w:r>
            <w:r w:rsidRPr="000F13EF">
              <w:t xml:space="preserve">nu poate fi estimat în lipsa unei planificări </w:t>
            </w:r>
            <w:r w:rsidR="005162F5" w:rsidRPr="000F13EF">
              <w:t xml:space="preserve">anuale/multianuale </w:t>
            </w:r>
            <w:r w:rsidRPr="000F13EF">
              <w:t xml:space="preserve">a </w:t>
            </w:r>
            <w:r w:rsidR="005162F5" w:rsidRPr="000F13EF">
              <w:t>concursurilor pentru ocuparea funcțiilor publice</w:t>
            </w:r>
            <w:r w:rsidR="00BD2B24" w:rsidRPr="000F13EF">
              <w:t xml:space="preserve"> și a </w:t>
            </w:r>
            <w:r w:rsidR="00C7524A" w:rsidRPr="000F13EF">
              <w:t>lipsei unor instrumente</w:t>
            </w:r>
            <w:r w:rsidR="00BD2B24" w:rsidRPr="000F13EF">
              <w:t xml:space="preserve"> de estimare </w:t>
            </w:r>
            <w:r w:rsidR="00C7524A" w:rsidRPr="000F13EF">
              <w:t xml:space="preserve">obiectivă </w:t>
            </w:r>
            <w:r w:rsidR="00BD2B24" w:rsidRPr="000F13EF">
              <w:t xml:space="preserve">a numărului de candidați și, subsecvent, </w:t>
            </w:r>
            <w:r w:rsidR="00C7524A" w:rsidRPr="000F13EF">
              <w:t xml:space="preserve">a numărului </w:t>
            </w:r>
            <w:r w:rsidR="00BD2B24" w:rsidRPr="000F13EF">
              <w:t>de contestații depuse de aceștia în perioada/perioadele menționate</w:t>
            </w:r>
            <w:r w:rsidR="005162F5" w:rsidRPr="000F13EF">
              <w:t>, însă, de principiu, introducerea modificărilor vizate se estimează a conduce la economii prin reducerea cheltuielilor de deplasare</w:t>
            </w:r>
            <w:r w:rsidR="00BD2B24" w:rsidRPr="000F13EF">
              <w:t>, în situațiile</w:t>
            </w:r>
            <w:r w:rsidR="005162F5" w:rsidRPr="000F13EF">
              <w:t xml:space="preserve"> </w:t>
            </w:r>
            <w:r w:rsidR="00BD2B24" w:rsidRPr="000F13EF">
              <w:t xml:space="preserve">în care întrunirea comisiilor de concurs și de soluționare a contestațiilor implică deplasări ale </w:t>
            </w:r>
            <w:r w:rsidR="00BD2B24" w:rsidRPr="000F13EF">
              <w:lastRenderedPageBreak/>
              <w:t>persoanelor desemnate în calitate de membri</w:t>
            </w:r>
            <w:r w:rsidR="00CE437A" w:rsidRPr="000F13EF">
              <w:t>, în scopul întrunirii comisiilor respective pentru  exercitarea atribuțiilor aferente fiecărei probe de concurs</w:t>
            </w:r>
            <w:r w:rsidR="00BD2B24" w:rsidRPr="000F13EF">
              <w:t>.</w:t>
            </w:r>
            <w:r w:rsidR="005162F5" w:rsidRPr="000F13EF">
              <w:t xml:space="preserve"> </w:t>
            </w:r>
          </w:p>
          <w:p w:rsidR="00C7524A" w:rsidRPr="000F13EF" w:rsidRDefault="00C7524A" w:rsidP="00EE3BE7">
            <w:pPr>
              <w:jc w:val="both"/>
            </w:pPr>
            <w:r w:rsidRPr="000F13EF">
              <w:t xml:space="preserve">În ceea ce privește remunerarea activității membrilor comisiilor de concurs și comisiilor de soluționare a contestațiilor, precum și a secretarilor acestor comisii, dispozițiile propuse nu vor genera creșteri ale alocărilor bugetare, întrucât: (i) la elaborarea și aprobarea bugetelor autorităților și instituțiilor publice în al căror stat de funcții se regăsesc funcțiile vacante pentru care se organizează concurs, aceste funcții sunt deja bugetate; (ii) pentru concursurile de promovare </w:t>
            </w:r>
            <w:r w:rsidR="00EE3BE7" w:rsidRPr="000F13EF">
              <w:t xml:space="preserve">în grad profesional superior celui deținut  </w:t>
            </w:r>
            <w:r w:rsidRPr="000F13EF">
              <w:t>există stabilită și rămâne în vigoare condiția încadrării ”în limita fondurilor bugetare”</w:t>
            </w:r>
            <w:r w:rsidR="008C37FE" w:rsidRPr="000F13EF">
              <w:t>, mențiunea vizând inclusiv organizarea și desfășurarea consursurilor/examenelor</w:t>
            </w:r>
            <w:r w:rsidRPr="000F13EF">
              <w:t>.</w:t>
            </w:r>
          </w:p>
        </w:tc>
      </w:tr>
      <w:tr w:rsidR="00E77CC1" w:rsidRPr="000F13EF" w:rsidTr="003A1764">
        <w:tc>
          <w:tcPr>
            <w:tcW w:w="10188" w:type="dxa"/>
            <w:gridSpan w:val="10"/>
            <w:shd w:val="clear" w:color="auto" w:fill="auto"/>
          </w:tcPr>
          <w:p w:rsidR="00E77CC1" w:rsidRPr="000F13EF" w:rsidRDefault="00E77CC1" w:rsidP="00E64DE9">
            <w:pPr>
              <w:rPr>
                <w:b/>
                <w:i/>
              </w:rPr>
            </w:pPr>
            <w:r w:rsidRPr="000F13EF">
              <w:rPr>
                <w:b/>
                <w:i/>
              </w:rPr>
              <w:lastRenderedPageBreak/>
              <w:t xml:space="preserve">Secţiunea a 5-a                                                                               </w:t>
            </w:r>
          </w:p>
          <w:p w:rsidR="00B83DFA" w:rsidRPr="000F13EF" w:rsidRDefault="00E77CC1" w:rsidP="00B83DFA">
            <w:r w:rsidRPr="000F13EF">
              <w:rPr>
                <w:b/>
                <w:i/>
              </w:rPr>
              <w:t>Efectele proiectului de act normativ asupra legislaţiei în vigoare</w:t>
            </w:r>
            <w:r w:rsidRPr="000F13EF">
              <w:t xml:space="preserve">  </w:t>
            </w:r>
          </w:p>
        </w:tc>
      </w:tr>
      <w:tr w:rsidR="00BD2B24" w:rsidRPr="000F13EF" w:rsidTr="005373E4">
        <w:trPr>
          <w:trHeight w:val="439"/>
        </w:trPr>
        <w:tc>
          <w:tcPr>
            <w:tcW w:w="4786" w:type="dxa"/>
            <w:gridSpan w:val="4"/>
            <w:shd w:val="clear" w:color="auto" w:fill="auto"/>
          </w:tcPr>
          <w:p w:rsidR="00BD2B24" w:rsidRPr="000F13EF" w:rsidRDefault="00BD2B24" w:rsidP="004179D5">
            <w:r w:rsidRPr="000F13EF">
              <w:t xml:space="preserve">1. Măsuri normative necesare pentru aplicarea prevederilor:    </w:t>
            </w:r>
          </w:p>
          <w:p w:rsidR="00BD2B24" w:rsidRPr="000F13EF" w:rsidRDefault="00BD2B24" w:rsidP="00053032">
            <w:pPr>
              <w:jc w:val="both"/>
            </w:pPr>
            <w:r w:rsidRPr="000F13EF">
              <w:t>a) acte normative în vigoare ce vor fi modificate sau  abrogate, ca urmare a intrării în vigoare a proiectului de act normativ</w:t>
            </w:r>
          </w:p>
          <w:p w:rsidR="00BD2B24" w:rsidRPr="000F13EF" w:rsidRDefault="00BD2B24" w:rsidP="00053032">
            <w:pPr>
              <w:jc w:val="both"/>
            </w:pPr>
            <w:r w:rsidRPr="000F13EF">
              <w:t>b) acte normative ce urmează a fi elaborate în vederea implementării noilor dispoziţii.</w:t>
            </w:r>
          </w:p>
        </w:tc>
        <w:tc>
          <w:tcPr>
            <w:tcW w:w="5402" w:type="dxa"/>
            <w:gridSpan w:val="6"/>
            <w:shd w:val="clear" w:color="auto" w:fill="auto"/>
          </w:tcPr>
          <w:p w:rsidR="001527A5" w:rsidRPr="000F13EF" w:rsidRDefault="00444E40" w:rsidP="00616A24">
            <w:pPr>
              <w:jc w:val="both"/>
            </w:pPr>
            <w:r w:rsidRPr="000F13EF">
              <w:t xml:space="preserve">La intrarea în vigoare a proiectului de act normativ </w:t>
            </w:r>
            <w:r w:rsidR="00071F55" w:rsidRPr="000F13EF">
              <w:t>se abrogă Ordinul președintelui Agenției Naționale a Funcționarilor Publici nr. 192/2013 pentru aprobarea formatului standard al adeverinţei care atestă vechimea în muncă şi vechimea în specialitatea studiilor.</w:t>
            </w:r>
          </w:p>
        </w:tc>
      </w:tr>
      <w:tr w:rsidR="00BD2B24" w:rsidRPr="000F13EF" w:rsidTr="005373E4">
        <w:trPr>
          <w:trHeight w:val="871"/>
        </w:trPr>
        <w:tc>
          <w:tcPr>
            <w:tcW w:w="4786" w:type="dxa"/>
            <w:gridSpan w:val="4"/>
            <w:shd w:val="clear" w:color="auto" w:fill="auto"/>
          </w:tcPr>
          <w:p w:rsidR="00BD2B24" w:rsidRPr="000F13EF" w:rsidRDefault="00BD2B24" w:rsidP="004179D5">
            <w:pPr>
              <w:rPr>
                <w:vertAlign w:val="superscript"/>
              </w:rPr>
            </w:pPr>
            <w:r w:rsidRPr="000F13EF">
              <w:t>1</w:t>
            </w:r>
            <w:r w:rsidRPr="000F13EF">
              <w:rPr>
                <w:vertAlign w:val="superscript"/>
              </w:rPr>
              <w:t>1</w:t>
            </w:r>
            <w:r w:rsidRPr="000F13EF">
              <w:t>.</w:t>
            </w:r>
            <w:r w:rsidRPr="000F13EF">
              <w:rPr>
                <w:vertAlign w:val="superscript"/>
              </w:rPr>
              <w:t xml:space="preserve">. </w:t>
            </w:r>
            <w:r w:rsidRPr="000F13EF">
              <w:t>Compatibilitatea proiectului de act normativ cu legislaţia în domeniul achiziţiilor public.</w:t>
            </w:r>
            <w:r w:rsidRPr="000F13EF">
              <w:rPr>
                <w:vertAlign w:val="superscript"/>
              </w:rPr>
              <w:t xml:space="preserve">  </w:t>
            </w:r>
          </w:p>
        </w:tc>
        <w:tc>
          <w:tcPr>
            <w:tcW w:w="5402" w:type="dxa"/>
            <w:gridSpan w:val="6"/>
            <w:shd w:val="clear" w:color="auto" w:fill="auto"/>
          </w:tcPr>
          <w:p w:rsidR="00BD2B24" w:rsidRPr="000F13EF" w:rsidRDefault="00BD2B24" w:rsidP="00C92973">
            <w:r w:rsidRPr="000F13EF">
              <w:t>Proiectul de act normativ nu se referă la acest subiect.</w:t>
            </w:r>
          </w:p>
        </w:tc>
      </w:tr>
      <w:tr w:rsidR="00BD2B24" w:rsidRPr="000F13EF" w:rsidTr="005373E4">
        <w:tc>
          <w:tcPr>
            <w:tcW w:w="4786" w:type="dxa"/>
            <w:gridSpan w:val="4"/>
            <w:shd w:val="clear" w:color="auto" w:fill="auto"/>
          </w:tcPr>
          <w:p w:rsidR="00BD2B24" w:rsidRPr="000F13EF" w:rsidRDefault="00BD2B24" w:rsidP="00053032">
            <w:pPr>
              <w:jc w:val="both"/>
            </w:pPr>
            <w:r w:rsidRPr="000F13EF">
              <w:t>2. Conformitatea proiectului de act normativ cu legislaţia comunitară în  cazul proiectelor ce transpun prevederi comunitare</w:t>
            </w:r>
          </w:p>
        </w:tc>
        <w:tc>
          <w:tcPr>
            <w:tcW w:w="5402" w:type="dxa"/>
            <w:gridSpan w:val="6"/>
            <w:shd w:val="clear" w:color="auto" w:fill="auto"/>
          </w:tcPr>
          <w:p w:rsidR="00BD2B24" w:rsidRPr="000F13EF" w:rsidRDefault="00BD2B24" w:rsidP="00053032">
            <w:r w:rsidRPr="000F13EF">
              <w:t>Proiectul de act normativ nu se referă la acest subiect.</w:t>
            </w:r>
          </w:p>
        </w:tc>
      </w:tr>
      <w:tr w:rsidR="00BD2B24" w:rsidRPr="000F13EF" w:rsidTr="005373E4">
        <w:tc>
          <w:tcPr>
            <w:tcW w:w="4786" w:type="dxa"/>
            <w:gridSpan w:val="4"/>
            <w:shd w:val="clear" w:color="auto" w:fill="auto"/>
          </w:tcPr>
          <w:p w:rsidR="00BD2B24" w:rsidRPr="000F13EF" w:rsidRDefault="00BD2B24" w:rsidP="00444E40">
            <w:pPr>
              <w:jc w:val="both"/>
            </w:pPr>
            <w:r w:rsidRPr="000F13EF">
              <w:t>3. Masuri normative necesare aplicării directe a actelor</w:t>
            </w:r>
            <w:r w:rsidR="00444E40" w:rsidRPr="000F13EF">
              <w:t xml:space="preserve"> </w:t>
            </w:r>
            <w:r w:rsidRPr="000F13EF">
              <w:t xml:space="preserve">normative comunitare                                          </w:t>
            </w:r>
          </w:p>
        </w:tc>
        <w:tc>
          <w:tcPr>
            <w:tcW w:w="5402" w:type="dxa"/>
            <w:gridSpan w:val="6"/>
            <w:shd w:val="clear" w:color="auto" w:fill="auto"/>
          </w:tcPr>
          <w:p w:rsidR="00BD2B24" w:rsidRPr="000F13EF" w:rsidRDefault="00BD2B24" w:rsidP="00053032">
            <w:r w:rsidRPr="000F13EF">
              <w:t>Proiectul de act normativ nu se referă la acest subiect.</w:t>
            </w:r>
          </w:p>
        </w:tc>
      </w:tr>
      <w:tr w:rsidR="00BD2B24" w:rsidRPr="000F13EF" w:rsidTr="005373E4">
        <w:tc>
          <w:tcPr>
            <w:tcW w:w="4786" w:type="dxa"/>
            <w:gridSpan w:val="4"/>
            <w:shd w:val="clear" w:color="auto" w:fill="auto"/>
          </w:tcPr>
          <w:p w:rsidR="00BD2B24" w:rsidRPr="000F13EF" w:rsidRDefault="00BD2B24" w:rsidP="00CE0F29">
            <w:r w:rsidRPr="000F13EF">
              <w:t xml:space="preserve">4. Hotărâri ale Curţii de Justiţie a Uniunii Europene         </w:t>
            </w:r>
          </w:p>
        </w:tc>
        <w:tc>
          <w:tcPr>
            <w:tcW w:w="5402" w:type="dxa"/>
            <w:gridSpan w:val="6"/>
            <w:shd w:val="clear" w:color="auto" w:fill="auto"/>
          </w:tcPr>
          <w:p w:rsidR="00BD2B24" w:rsidRPr="000F13EF" w:rsidRDefault="00BD2B24" w:rsidP="00053032">
            <w:r w:rsidRPr="000F13EF">
              <w:t>Proiectul de act normativ nu se referă la acest subiect.</w:t>
            </w:r>
          </w:p>
        </w:tc>
      </w:tr>
      <w:tr w:rsidR="00BD2B24" w:rsidRPr="000F13EF" w:rsidTr="005373E4">
        <w:tc>
          <w:tcPr>
            <w:tcW w:w="4786" w:type="dxa"/>
            <w:gridSpan w:val="4"/>
            <w:shd w:val="clear" w:color="auto" w:fill="auto"/>
          </w:tcPr>
          <w:p w:rsidR="00BD2B24" w:rsidRPr="000F13EF" w:rsidRDefault="00BD2B24" w:rsidP="00CE0F29">
            <w:r w:rsidRPr="000F13EF">
              <w:t>5. Alte acte normative si/sau documente internaţionale din care decurg angajamente</w:t>
            </w:r>
          </w:p>
        </w:tc>
        <w:tc>
          <w:tcPr>
            <w:tcW w:w="5402" w:type="dxa"/>
            <w:gridSpan w:val="6"/>
            <w:shd w:val="clear" w:color="auto" w:fill="auto"/>
          </w:tcPr>
          <w:p w:rsidR="00BD2B24" w:rsidRPr="000F13EF" w:rsidRDefault="00BD2B24" w:rsidP="00053032">
            <w:r w:rsidRPr="000F13EF">
              <w:t>Proiectul de act normativ nu se referă la acest subiect.</w:t>
            </w:r>
          </w:p>
        </w:tc>
      </w:tr>
      <w:tr w:rsidR="00B83DFA" w:rsidRPr="000F13EF" w:rsidTr="005373E4">
        <w:tc>
          <w:tcPr>
            <w:tcW w:w="4786" w:type="dxa"/>
            <w:gridSpan w:val="4"/>
            <w:shd w:val="clear" w:color="auto" w:fill="auto"/>
          </w:tcPr>
          <w:p w:rsidR="00B83DFA" w:rsidRPr="000F13EF" w:rsidRDefault="00B83DFA" w:rsidP="00CE0F29">
            <w:r w:rsidRPr="000F13EF">
              <w:t>6. Alte informaţii</w:t>
            </w:r>
          </w:p>
        </w:tc>
        <w:tc>
          <w:tcPr>
            <w:tcW w:w="5402" w:type="dxa"/>
            <w:gridSpan w:val="6"/>
            <w:shd w:val="clear" w:color="auto" w:fill="auto"/>
          </w:tcPr>
          <w:p w:rsidR="00B83DFA" w:rsidRPr="000F13EF" w:rsidRDefault="00B83DFA" w:rsidP="00C92973">
            <w:r w:rsidRPr="000F13EF">
              <w:t>Proiectul de act normativ nu se referă la acest subiect.</w:t>
            </w:r>
          </w:p>
        </w:tc>
      </w:tr>
      <w:tr w:rsidR="00B83DFA" w:rsidRPr="000F13EF" w:rsidTr="003A1764">
        <w:tc>
          <w:tcPr>
            <w:tcW w:w="10188" w:type="dxa"/>
            <w:gridSpan w:val="10"/>
            <w:shd w:val="clear" w:color="auto" w:fill="auto"/>
          </w:tcPr>
          <w:p w:rsidR="00B83DFA" w:rsidRPr="000F13EF" w:rsidRDefault="00B83DFA" w:rsidP="00AB2A0B">
            <w:pPr>
              <w:rPr>
                <w:b/>
                <w:i/>
              </w:rPr>
            </w:pPr>
            <w:r w:rsidRPr="000F13EF">
              <w:rPr>
                <w:b/>
                <w:i/>
              </w:rPr>
              <w:t xml:space="preserve">Secţiunea a 6-a                                                                                </w:t>
            </w:r>
          </w:p>
          <w:p w:rsidR="00B83DFA" w:rsidRPr="000F13EF" w:rsidRDefault="00B83DFA" w:rsidP="00B83DFA">
            <w:r w:rsidRPr="000F13EF">
              <w:rPr>
                <w:b/>
                <w:i/>
              </w:rPr>
              <w:t>Consultările efectuate în vederea elaborării proiectului de act normativ</w:t>
            </w:r>
            <w:r w:rsidRPr="000F13EF">
              <w:t xml:space="preserve">                       </w:t>
            </w:r>
          </w:p>
        </w:tc>
      </w:tr>
      <w:tr w:rsidR="00B83DFA" w:rsidRPr="000F13EF" w:rsidTr="00E77CC1">
        <w:tc>
          <w:tcPr>
            <w:tcW w:w="4352" w:type="dxa"/>
            <w:gridSpan w:val="2"/>
            <w:shd w:val="clear" w:color="auto" w:fill="auto"/>
          </w:tcPr>
          <w:p w:rsidR="00B83DFA" w:rsidRPr="000F13EF" w:rsidRDefault="00B83DFA" w:rsidP="00053032">
            <w:pPr>
              <w:jc w:val="both"/>
            </w:pPr>
            <w:r w:rsidRPr="000F13EF">
              <w:t xml:space="preserve">1. Informaţii privind procesul de         </w:t>
            </w:r>
          </w:p>
          <w:p w:rsidR="00B83DFA" w:rsidRPr="000F13EF" w:rsidRDefault="00B83DFA" w:rsidP="00053032">
            <w:pPr>
              <w:jc w:val="both"/>
            </w:pPr>
            <w:r w:rsidRPr="000F13EF">
              <w:t xml:space="preserve">    consultare cu organizaţii</w:t>
            </w:r>
          </w:p>
          <w:p w:rsidR="00B83DFA" w:rsidRPr="000F13EF" w:rsidRDefault="00B83DFA" w:rsidP="00053032">
            <w:pPr>
              <w:jc w:val="both"/>
            </w:pPr>
            <w:r w:rsidRPr="000F13EF">
              <w:t xml:space="preserve">    neguvernamentale, instituite de</w:t>
            </w:r>
          </w:p>
          <w:p w:rsidR="00B83DFA" w:rsidRPr="000F13EF" w:rsidRDefault="00B83DFA" w:rsidP="00053032">
            <w:pPr>
              <w:jc w:val="both"/>
            </w:pPr>
            <w:r w:rsidRPr="000F13EF">
              <w:t xml:space="preserve">    cercetare si alte organisme</w:t>
            </w:r>
          </w:p>
          <w:p w:rsidR="00B83DFA" w:rsidRPr="000F13EF" w:rsidRDefault="00B83DFA" w:rsidP="00053032">
            <w:pPr>
              <w:jc w:val="both"/>
            </w:pPr>
            <w:r w:rsidRPr="000F13EF">
              <w:t xml:space="preserve">    implicate</w:t>
            </w:r>
          </w:p>
        </w:tc>
        <w:tc>
          <w:tcPr>
            <w:tcW w:w="5836" w:type="dxa"/>
            <w:gridSpan w:val="8"/>
            <w:shd w:val="clear" w:color="auto" w:fill="auto"/>
          </w:tcPr>
          <w:p w:rsidR="00B83DFA" w:rsidRPr="000F13EF" w:rsidRDefault="00A56B27" w:rsidP="00C92973">
            <w:r w:rsidRPr="000F13EF">
              <w:t>În aplicarea Legii nr. 52/2003 privind transparenţa decizională în administraţia publică, republicată, proiectul de act normativ, împreună cu Nota de fundamentare aferentă, au fost afișate pe pagina de internet a Agenției Naționale a Funcționarilor Publici, la secțiunea ”Transparență decizională/Proiecte de acte normative”, în data de 11.04.2017.</w:t>
            </w:r>
          </w:p>
        </w:tc>
      </w:tr>
      <w:tr w:rsidR="00B83DFA" w:rsidRPr="000F13EF" w:rsidTr="00E77CC1">
        <w:tc>
          <w:tcPr>
            <w:tcW w:w="4352" w:type="dxa"/>
            <w:gridSpan w:val="2"/>
            <w:shd w:val="clear" w:color="auto" w:fill="auto"/>
          </w:tcPr>
          <w:p w:rsidR="00B83DFA" w:rsidRPr="000F13EF" w:rsidRDefault="00B83DFA" w:rsidP="00053032">
            <w:pPr>
              <w:jc w:val="both"/>
            </w:pPr>
            <w:r w:rsidRPr="000F13EF">
              <w:t xml:space="preserve">2. Fundamentarea alegerii                 </w:t>
            </w:r>
          </w:p>
          <w:p w:rsidR="00B83DFA" w:rsidRPr="000F13EF" w:rsidRDefault="00B83DFA" w:rsidP="00053032">
            <w:pPr>
              <w:jc w:val="both"/>
            </w:pPr>
            <w:r w:rsidRPr="000F13EF">
              <w:t xml:space="preserve">    organizaţiilor cu care a avut loc</w:t>
            </w:r>
          </w:p>
          <w:p w:rsidR="00B83DFA" w:rsidRPr="000F13EF" w:rsidRDefault="00B83DFA" w:rsidP="00053032">
            <w:pPr>
              <w:jc w:val="both"/>
            </w:pPr>
            <w:r w:rsidRPr="000F13EF">
              <w:t xml:space="preserve">    consultarea, precum şi a modului în</w:t>
            </w:r>
          </w:p>
          <w:p w:rsidR="00B83DFA" w:rsidRPr="000F13EF" w:rsidRDefault="00B83DFA" w:rsidP="00053032">
            <w:pPr>
              <w:jc w:val="both"/>
            </w:pPr>
            <w:r w:rsidRPr="000F13EF">
              <w:lastRenderedPageBreak/>
              <w:t xml:space="preserve">    care activitatea acestor</w:t>
            </w:r>
          </w:p>
          <w:p w:rsidR="00B83DFA" w:rsidRPr="000F13EF" w:rsidRDefault="00B83DFA" w:rsidP="00053032">
            <w:pPr>
              <w:jc w:val="both"/>
            </w:pPr>
            <w:r w:rsidRPr="000F13EF">
              <w:t xml:space="preserve">    organizaţii este legată de obiectul    </w:t>
            </w:r>
          </w:p>
          <w:p w:rsidR="00B83DFA" w:rsidRPr="000F13EF" w:rsidRDefault="00B83DFA" w:rsidP="00053032">
            <w:pPr>
              <w:jc w:val="both"/>
            </w:pPr>
            <w:r w:rsidRPr="000F13EF">
              <w:t xml:space="preserve">    proiectului de act normativ   </w:t>
            </w:r>
          </w:p>
        </w:tc>
        <w:tc>
          <w:tcPr>
            <w:tcW w:w="5836" w:type="dxa"/>
            <w:gridSpan w:val="8"/>
            <w:shd w:val="clear" w:color="auto" w:fill="auto"/>
          </w:tcPr>
          <w:p w:rsidR="00B83DFA" w:rsidRPr="000F13EF" w:rsidRDefault="00B83DFA" w:rsidP="00C92973">
            <w:r w:rsidRPr="000F13EF">
              <w:lastRenderedPageBreak/>
              <w:t>Proiectul de act normativ nu se referă la acest subiect.</w:t>
            </w:r>
          </w:p>
        </w:tc>
      </w:tr>
      <w:tr w:rsidR="00B83DFA" w:rsidRPr="000F13EF" w:rsidTr="00E77CC1">
        <w:tc>
          <w:tcPr>
            <w:tcW w:w="4352" w:type="dxa"/>
            <w:gridSpan w:val="2"/>
            <w:shd w:val="clear" w:color="auto" w:fill="auto"/>
          </w:tcPr>
          <w:p w:rsidR="00B83DFA" w:rsidRPr="000F13EF" w:rsidRDefault="00B83DFA" w:rsidP="00053032">
            <w:pPr>
              <w:jc w:val="both"/>
            </w:pPr>
            <w:r w:rsidRPr="000F13EF">
              <w:lastRenderedPageBreak/>
              <w:t xml:space="preserve">3. Consultările organizate cu             </w:t>
            </w:r>
          </w:p>
          <w:p w:rsidR="00B83DFA" w:rsidRPr="000F13EF" w:rsidRDefault="00B83DFA" w:rsidP="00053032">
            <w:pPr>
              <w:jc w:val="both"/>
            </w:pPr>
            <w:r w:rsidRPr="000F13EF">
              <w:t xml:space="preserve">    autorităţile administraţiei publice    </w:t>
            </w:r>
          </w:p>
          <w:p w:rsidR="00B83DFA" w:rsidRPr="000F13EF" w:rsidRDefault="00B83DFA" w:rsidP="00053032">
            <w:pPr>
              <w:jc w:val="both"/>
            </w:pPr>
            <w:r w:rsidRPr="000F13EF">
              <w:t xml:space="preserve">    locale, în situaţia în care proiectul  </w:t>
            </w:r>
          </w:p>
          <w:p w:rsidR="00B83DFA" w:rsidRPr="000F13EF" w:rsidRDefault="00B83DFA" w:rsidP="00053032">
            <w:pPr>
              <w:jc w:val="both"/>
            </w:pPr>
            <w:r w:rsidRPr="000F13EF">
              <w:t xml:space="preserve">    de act normativ are ca obiect   </w:t>
            </w:r>
          </w:p>
          <w:p w:rsidR="00B83DFA" w:rsidRPr="000F13EF" w:rsidRDefault="00B83DFA" w:rsidP="00053032">
            <w:pPr>
              <w:jc w:val="both"/>
            </w:pPr>
            <w:r w:rsidRPr="000F13EF">
              <w:t xml:space="preserve">    activităţi ale acestor autorităţi, în  </w:t>
            </w:r>
          </w:p>
          <w:p w:rsidR="00B83DFA" w:rsidRPr="000F13EF" w:rsidRDefault="00B83DFA" w:rsidP="00053032">
            <w:pPr>
              <w:jc w:val="both"/>
            </w:pPr>
            <w:r w:rsidRPr="000F13EF">
              <w:t xml:space="preserve">    condiţiile Hotărârii Guvernului nr.</w:t>
            </w:r>
          </w:p>
          <w:p w:rsidR="00B83DFA" w:rsidRPr="000F13EF" w:rsidRDefault="00B83DFA" w:rsidP="00053032">
            <w:pPr>
              <w:jc w:val="both"/>
            </w:pPr>
            <w:r w:rsidRPr="000F13EF">
              <w:t xml:space="preserve">    521/2005 privind procedura de  </w:t>
            </w:r>
          </w:p>
          <w:p w:rsidR="00B83DFA" w:rsidRPr="000F13EF" w:rsidRDefault="00B83DFA" w:rsidP="00053032">
            <w:pPr>
              <w:jc w:val="both"/>
            </w:pPr>
            <w:r w:rsidRPr="000F13EF">
              <w:t xml:space="preserve">    consultare a structurilor asociative   </w:t>
            </w:r>
          </w:p>
          <w:p w:rsidR="00B83DFA" w:rsidRPr="000F13EF" w:rsidRDefault="00B83DFA" w:rsidP="00053032">
            <w:pPr>
              <w:jc w:val="both"/>
            </w:pPr>
            <w:r w:rsidRPr="000F13EF">
              <w:t xml:space="preserve">    ale autorităţilor administraţiei       </w:t>
            </w:r>
          </w:p>
          <w:p w:rsidR="00B83DFA" w:rsidRPr="000F13EF" w:rsidRDefault="00B83DFA" w:rsidP="00053032">
            <w:pPr>
              <w:jc w:val="both"/>
            </w:pPr>
            <w:r w:rsidRPr="000F13EF">
              <w:t xml:space="preserve">    publice locale la elaborarea      </w:t>
            </w:r>
          </w:p>
          <w:p w:rsidR="00B83DFA" w:rsidRPr="000F13EF" w:rsidRDefault="00B83DFA" w:rsidP="00053032">
            <w:pPr>
              <w:jc w:val="both"/>
            </w:pPr>
            <w:r w:rsidRPr="000F13EF">
              <w:t xml:space="preserve">    proiectelor de acte normative      </w:t>
            </w:r>
          </w:p>
        </w:tc>
        <w:tc>
          <w:tcPr>
            <w:tcW w:w="5836" w:type="dxa"/>
            <w:gridSpan w:val="8"/>
            <w:shd w:val="clear" w:color="auto" w:fill="auto"/>
          </w:tcPr>
          <w:p w:rsidR="00B83DFA" w:rsidRPr="000F13EF" w:rsidRDefault="00617235" w:rsidP="006D29AA">
            <w:pPr>
              <w:jc w:val="both"/>
            </w:pPr>
            <w:r w:rsidRPr="000F13EF">
              <w:t xml:space="preserve">În aplicarea </w:t>
            </w:r>
            <w:r w:rsidRPr="000F13EF">
              <w:rPr>
                <w:i/>
              </w:rPr>
              <w:t>Hotărârii Guvernului nr. 521/2005 privind procedura de consultare a structurilor asociative ale autorităţilor administraţiei publice locale la elaborarea proiectelor de acte normative</w:t>
            </w:r>
            <w:r w:rsidRPr="000F13EF">
              <w:t>, Ministerul Dezvoltării Regionale, Administrației Publice și Fondurilor Europene a asigurat consultarea structurilor asociative ale administrației publice locale</w:t>
            </w:r>
            <w:r w:rsidR="006D29AA" w:rsidRPr="000F13EF">
              <w:t xml:space="preserve"> cu privire la proiectul de act normativ</w:t>
            </w:r>
            <w:r w:rsidRPr="000F13EF">
              <w:t>. Dintre structurile consultate, s-au exprimat asupra proiectului de act normativ Uniunea Națională a Consiliilor Județene din România (adresa nr. 318/03.07.2017) și Asociația Municipiilor din România (adresa nr. 866/07.07.2017). Punctele de vedere exprimate au fost analizate iar observațiile și propunerile</w:t>
            </w:r>
            <w:r w:rsidR="004A7F40" w:rsidRPr="000F13EF">
              <w:t xml:space="preserve"> primite</w:t>
            </w:r>
            <w:r w:rsidRPr="000F13EF">
              <w:t>, acolo unde a fost cazul, au fost integrate în mod corespunzător.</w:t>
            </w:r>
          </w:p>
        </w:tc>
      </w:tr>
      <w:tr w:rsidR="00B83DFA" w:rsidRPr="000F13EF" w:rsidTr="00E77CC1">
        <w:tc>
          <w:tcPr>
            <w:tcW w:w="4352" w:type="dxa"/>
            <w:gridSpan w:val="2"/>
            <w:shd w:val="clear" w:color="auto" w:fill="auto"/>
          </w:tcPr>
          <w:p w:rsidR="00B83DFA" w:rsidRPr="000F13EF" w:rsidRDefault="00B83DFA" w:rsidP="00053032">
            <w:pPr>
              <w:jc w:val="both"/>
            </w:pPr>
            <w:r w:rsidRPr="000F13EF">
              <w:t>4. Consultările desfăşurate în cadrul</w:t>
            </w:r>
          </w:p>
          <w:p w:rsidR="00B83DFA" w:rsidRPr="000F13EF" w:rsidRDefault="00B83DFA" w:rsidP="00053032">
            <w:pPr>
              <w:jc w:val="both"/>
            </w:pPr>
            <w:r w:rsidRPr="000F13EF">
              <w:t xml:space="preserve">    consiliilor interministeriale, in      </w:t>
            </w:r>
          </w:p>
          <w:p w:rsidR="00B83DFA" w:rsidRPr="000F13EF" w:rsidRDefault="00B83DFA" w:rsidP="00053032">
            <w:pPr>
              <w:jc w:val="both"/>
            </w:pPr>
            <w:r w:rsidRPr="000F13EF">
              <w:t xml:space="preserve">    conformitate cu prevederile Hotărârii  </w:t>
            </w:r>
            <w:bookmarkStart w:id="0" w:name="tree#16"/>
            <w:r w:rsidRPr="000F13EF">
              <w:t xml:space="preserve"> </w:t>
            </w:r>
          </w:p>
          <w:p w:rsidR="00B83DFA" w:rsidRPr="000F13EF" w:rsidRDefault="00B83DFA" w:rsidP="00053032">
            <w:pPr>
              <w:jc w:val="both"/>
            </w:pPr>
            <w:r w:rsidRPr="000F13EF">
              <w:t xml:space="preserve">    Guvernului </w:t>
            </w:r>
            <w:bookmarkEnd w:id="0"/>
            <w:r w:rsidR="00AD6EA6" w:rsidRPr="000F13EF">
              <w:fldChar w:fldCharType="begin"/>
            </w:r>
            <w:r w:rsidRPr="000F13EF">
              <w:instrText xml:space="preserve"> HYPERLINK "lnk:HOT%20GUV%20750%202005%200" \o "Hotărâre nr. 750/2005 - Guvernul României" </w:instrText>
            </w:r>
            <w:r w:rsidR="00AD6EA6" w:rsidRPr="000F13EF">
              <w:fldChar w:fldCharType="separate"/>
            </w:r>
            <w:r w:rsidRPr="000F13EF">
              <w:rPr>
                <w:rStyle w:val="Hyperlink"/>
                <w:bCs w:val="0"/>
                <w:color w:val="auto"/>
                <w:u w:val="none"/>
              </w:rPr>
              <w:t>nr. 750/2005</w:t>
            </w:r>
            <w:r w:rsidR="00AD6EA6" w:rsidRPr="000F13EF">
              <w:fldChar w:fldCharType="end"/>
            </w:r>
            <w:r w:rsidRPr="000F13EF">
              <w:t xml:space="preserve"> privind </w:t>
            </w:r>
          </w:p>
          <w:p w:rsidR="00B83DFA" w:rsidRPr="000F13EF" w:rsidRDefault="00B83DFA" w:rsidP="00053032">
            <w:pPr>
              <w:jc w:val="both"/>
            </w:pPr>
            <w:r w:rsidRPr="000F13EF">
              <w:t xml:space="preserve">    constituirea  consiliilor interministeriale</w:t>
            </w:r>
          </w:p>
          <w:p w:rsidR="00B83DFA" w:rsidRPr="000F13EF" w:rsidRDefault="00B83DFA" w:rsidP="00053032">
            <w:pPr>
              <w:jc w:val="both"/>
            </w:pPr>
            <w:r w:rsidRPr="000F13EF">
              <w:t xml:space="preserve">    permanente </w:t>
            </w:r>
          </w:p>
        </w:tc>
        <w:tc>
          <w:tcPr>
            <w:tcW w:w="5836" w:type="dxa"/>
            <w:gridSpan w:val="8"/>
            <w:shd w:val="clear" w:color="auto" w:fill="auto"/>
          </w:tcPr>
          <w:p w:rsidR="00B83DFA" w:rsidRPr="000F13EF" w:rsidRDefault="00B83DFA" w:rsidP="00C92973">
            <w:r w:rsidRPr="000F13EF">
              <w:t>Proiectul de act normativ nu se referă la acest subiect.</w:t>
            </w:r>
          </w:p>
        </w:tc>
      </w:tr>
      <w:tr w:rsidR="00B83DFA" w:rsidRPr="000F13EF" w:rsidTr="00E77CC1">
        <w:tc>
          <w:tcPr>
            <w:tcW w:w="4352" w:type="dxa"/>
            <w:gridSpan w:val="2"/>
            <w:shd w:val="clear" w:color="auto" w:fill="auto"/>
          </w:tcPr>
          <w:p w:rsidR="00B83DFA" w:rsidRPr="000F13EF" w:rsidRDefault="00B83DFA" w:rsidP="00CE0F29">
            <w:r w:rsidRPr="000F13EF">
              <w:t>5. Informaţii privind avizarea de către:</w:t>
            </w:r>
          </w:p>
          <w:p w:rsidR="00B83DFA" w:rsidRPr="000F13EF" w:rsidRDefault="00B83DFA" w:rsidP="00C51289">
            <w:r w:rsidRPr="000F13EF">
              <w:t xml:space="preserve">    a) Consiliul Legislativ                                                </w:t>
            </w:r>
          </w:p>
          <w:p w:rsidR="00B83DFA" w:rsidRPr="000F13EF" w:rsidRDefault="00B83DFA" w:rsidP="00C51289">
            <w:r w:rsidRPr="000F13EF">
              <w:t xml:space="preserve">    b) Consiliul Suprem de Apărare a Ţării                                                    </w:t>
            </w:r>
          </w:p>
          <w:p w:rsidR="00B83DFA" w:rsidRPr="000F13EF" w:rsidRDefault="00B83DFA" w:rsidP="00C51289">
            <w:r w:rsidRPr="000F13EF">
              <w:t xml:space="preserve">    c) Consiliul Economic şi Social        </w:t>
            </w:r>
          </w:p>
          <w:p w:rsidR="00B83DFA" w:rsidRPr="000F13EF" w:rsidRDefault="00B83DFA" w:rsidP="00C51289">
            <w:r w:rsidRPr="000F13EF">
              <w:t xml:space="preserve">    d) Consiliul Concurenţei               </w:t>
            </w:r>
          </w:p>
          <w:p w:rsidR="00B83DFA" w:rsidRPr="000F13EF" w:rsidRDefault="00B83DFA" w:rsidP="00C51289">
            <w:r w:rsidRPr="000F13EF">
              <w:t xml:space="preserve">    e) Curtea de Conturi                       </w:t>
            </w:r>
          </w:p>
        </w:tc>
        <w:tc>
          <w:tcPr>
            <w:tcW w:w="5836" w:type="dxa"/>
            <w:gridSpan w:val="8"/>
            <w:shd w:val="clear" w:color="auto" w:fill="auto"/>
          </w:tcPr>
          <w:p w:rsidR="00FD50F1" w:rsidRPr="000F13EF" w:rsidRDefault="00FD50F1" w:rsidP="00CE0F29">
            <w:pPr>
              <w:rPr>
                <w:b/>
                <w:i/>
              </w:rPr>
            </w:pPr>
          </w:p>
          <w:p w:rsidR="00B83DFA" w:rsidRPr="000F13EF" w:rsidRDefault="00B83DFA" w:rsidP="00CE0F29">
            <w:pPr>
              <w:rPr>
                <w:b/>
              </w:rPr>
            </w:pPr>
            <w:r w:rsidRPr="000F13EF">
              <w:rPr>
                <w:b/>
              </w:rPr>
              <w:t>Proiectul necesită avizul Consiliului Legislativ</w:t>
            </w:r>
          </w:p>
          <w:p w:rsidR="00A56B27" w:rsidRPr="000F13EF" w:rsidRDefault="00A56B27" w:rsidP="00CE0F29">
            <w:pPr>
              <w:rPr>
                <w:b/>
              </w:rPr>
            </w:pPr>
          </w:p>
          <w:p w:rsidR="00A56B27" w:rsidRPr="000F13EF" w:rsidRDefault="00A56B27" w:rsidP="00CE0F29">
            <w:pPr>
              <w:rPr>
                <w:b/>
                <w:i/>
              </w:rPr>
            </w:pPr>
            <w:r w:rsidRPr="000F13EF">
              <w:rPr>
                <w:b/>
              </w:rPr>
              <w:t>Proiectul necesită avizul Consiliului Economic şi Social</w:t>
            </w:r>
          </w:p>
        </w:tc>
      </w:tr>
      <w:tr w:rsidR="00B83DFA" w:rsidRPr="000F13EF" w:rsidTr="00E77CC1">
        <w:tc>
          <w:tcPr>
            <w:tcW w:w="4352" w:type="dxa"/>
            <w:gridSpan w:val="2"/>
            <w:shd w:val="clear" w:color="auto" w:fill="auto"/>
          </w:tcPr>
          <w:p w:rsidR="00B83DFA" w:rsidRPr="000F13EF" w:rsidRDefault="00B83DFA" w:rsidP="00CE0F29">
            <w:r w:rsidRPr="000F13EF">
              <w:t xml:space="preserve">6. Alte informaţii                        </w:t>
            </w:r>
          </w:p>
        </w:tc>
        <w:tc>
          <w:tcPr>
            <w:tcW w:w="5836" w:type="dxa"/>
            <w:gridSpan w:val="8"/>
            <w:shd w:val="clear" w:color="auto" w:fill="auto"/>
          </w:tcPr>
          <w:p w:rsidR="00B83DFA" w:rsidRPr="000F13EF" w:rsidRDefault="00B83DFA" w:rsidP="00C92973">
            <w:r w:rsidRPr="000F13EF">
              <w:t>Proiectul de act normativ nu se referă la acest subiect.</w:t>
            </w:r>
          </w:p>
        </w:tc>
      </w:tr>
      <w:tr w:rsidR="00B83DFA" w:rsidRPr="000F13EF" w:rsidTr="003A1764">
        <w:tc>
          <w:tcPr>
            <w:tcW w:w="10188" w:type="dxa"/>
            <w:gridSpan w:val="10"/>
            <w:shd w:val="clear" w:color="auto" w:fill="auto"/>
          </w:tcPr>
          <w:p w:rsidR="00B83DFA" w:rsidRPr="000F13EF" w:rsidRDefault="00B83DFA" w:rsidP="001C04C5">
            <w:pPr>
              <w:rPr>
                <w:b/>
                <w:i/>
              </w:rPr>
            </w:pPr>
            <w:r w:rsidRPr="000F13EF">
              <w:rPr>
                <w:b/>
                <w:i/>
              </w:rPr>
              <w:t xml:space="preserve">Secţiunea a 7-a                                                                                </w:t>
            </w:r>
          </w:p>
          <w:p w:rsidR="00B83DFA" w:rsidRPr="000F13EF" w:rsidRDefault="00B83DFA" w:rsidP="00B83DFA">
            <w:r w:rsidRPr="000F13EF">
              <w:rPr>
                <w:b/>
                <w:i/>
              </w:rPr>
              <w:t>Activităţi de informare publică privind elaborarea şi implementarea proiectului de act normativ</w:t>
            </w:r>
          </w:p>
        </w:tc>
      </w:tr>
      <w:tr w:rsidR="00B83DFA" w:rsidRPr="000F13EF" w:rsidTr="00E77CC1">
        <w:tc>
          <w:tcPr>
            <w:tcW w:w="4352" w:type="dxa"/>
            <w:gridSpan w:val="2"/>
            <w:shd w:val="clear" w:color="auto" w:fill="auto"/>
          </w:tcPr>
          <w:p w:rsidR="00B83DFA" w:rsidRPr="000F13EF" w:rsidRDefault="00B83DFA" w:rsidP="00685E91">
            <w:r w:rsidRPr="000F13EF">
              <w:t xml:space="preserve">1. Informarea societăţii civile cu privire  la necesitatea elaborării proiectului de act normativ                        </w:t>
            </w:r>
          </w:p>
        </w:tc>
        <w:tc>
          <w:tcPr>
            <w:tcW w:w="5836" w:type="dxa"/>
            <w:gridSpan w:val="8"/>
            <w:shd w:val="clear" w:color="auto" w:fill="auto"/>
          </w:tcPr>
          <w:p w:rsidR="00B83DFA" w:rsidRPr="000F13EF" w:rsidRDefault="00A56B27" w:rsidP="00A56B27">
            <w:pPr>
              <w:jc w:val="both"/>
            </w:pPr>
            <w:r w:rsidRPr="000F13EF">
              <w:t>În aplicarea Legii nr. 52/2003 privind transparenţa decizională în administraţia publică, republicată, p</w:t>
            </w:r>
            <w:r w:rsidR="004A7F40" w:rsidRPr="000F13EF">
              <w:t>roiectul de act normativ</w:t>
            </w:r>
            <w:r w:rsidR="00433770" w:rsidRPr="000F13EF">
              <w:t>, împreună cu Nota de fundamentare aferentă,</w:t>
            </w:r>
            <w:r w:rsidR="004A7F40" w:rsidRPr="000F13EF">
              <w:t xml:space="preserve"> a</w:t>
            </w:r>
            <w:r w:rsidR="00433770" w:rsidRPr="000F13EF">
              <w:t>u</w:t>
            </w:r>
            <w:r w:rsidR="004A7F40" w:rsidRPr="000F13EF">
              <w:t xml:space="preserve"> fost afișat</w:t>
            </w:r>
            <w:r w:rsidR="00433770" w:rsidRPr="000F13EF">
              <w:t>e</w:t>
            </w:r>
            <w:r w:rsidR="004A7F40" w:rsidRPr="000F13EF">
              <w:t xml:space="preserve"> pe pagina de internet a Agenției Naționale a Funcționarilor Publici</w:t>
            </w:r>
            <w:r w:rsidR="00433770" w:rsidRPr="000F13EF">
              <w:t>, la secțiunea ”Transparență decizională/Proiecte de acte normative”, în data de 11.04.2017.</w:t>
            </w:r>
          </w:p>
        </w:tc>
      </w:tr>
      <w:tr w:rsidR="00B83DFA" w:rsidRPr="000F13EF" w:rsidTr="00E77CC1">
        <w:tc>
          <w:tcPr>
            <w:tcW w:w="4352" w:type="dxa"/>
            <w:gridSpan w:val="2"/>
            <w:shd w:val="clear" w:color="auto" w:fill="auto"/>
          </w:tcPr>
          <w:p w:rsidR="00B83DFA" w:rsidRPr="000F13EF" w:rsidRDefault="00B83DFA" w:rsidP="00685E91">
            <w:pPr>
              <w:jc w:val="both"/>
            </w:pPr>
            <w:r w:rsidRPr="000F13EF">
              <w:t xml:space="preserve">2. Informarea societăţii civile cu privire la eventualul impact asupra mediului în      urma implementării proiectului de act  normativ, precum şi efectele  sănătăţii şi securităţii cetăţenilor sau diversităţii biologice </w:t>
            </w:r>
          </w:p>
        </w:tc>
        <w:tc>
          <w:tcPr>
            <w:tcW w:w="5836" w:type="dxa"/>
            <w:gridSpan w:val="8"/>
            <w:shd w:val="clear" w:color="auto" w:fill="auto"/>
          </w:tcPr>
          <w:p w:rsidR="00B83DFA" w:rsidRPr="000F13EF" w:rsidRDefault="00B83DFA" w:rsidP="00CE0F29">
            <w:r w:rsidRPr="000F13EF">
              <w:t>Proiectul de act normativ nu se referă la acest subiect.</w:t>
            </w:r>
          </w:p>
        </w:tc>
      </w:tr>
      <w:tr w:rsidR="00B83DFA" w:rsidRPr="000F13EF" w:rsidTr="00E77CC1">
        <w:tc>
          <w:tcPr>
            <w:tcW w:w="4352" w:type="dxa"/>
            <w:gridSpan w:val="2"/>
            <w:shd w:val="clear" w:color="auto" w:fill="auto"/>
          </w:tcPr>
          <w:p w:rsidR="00B83DFA" w:rsidRPr="000F13EF" w:rsidRDefault="00B83DFA" w:rsidP="00CE0F29">
            <w:r w:rsidRPr="000F13EF">
              <w:t xml:space="preserve">3. Alte informaţii                        </w:t>
            </w:r>
          </w:p>
        </w:tc>
        <w:tc>
          <w:tcPr>
            <w:tcW w:w="5836" w:type="dxa"/>
            <w:gridSpan w:val="8"/>
            <w:shd w:val="clear" w:color="auto" w:fill="auto"/>
          </w:tcPr>
          <w:p w:rsidR="00B83DFA" w:rsidRPr="000F13EF" w:rsidRDefault="00B83DFA" w:rsidP="00C92973">
            <w:r w:rsidRPr="000F13EF">
              <w:t>Proiectul de act normativ nu se referă la acest subiect.</w:t>
            </w:r>
          </w:p>
        </w:tc>
      </w:tr>
      <w:tr w:rsidR="00B83DFA" w:rsidRPr="000F13EF" w:rsidTr="003A1764">
        <w:tc>
          <w:tcPr>
            <w:tcW w:w="10188" w:type="dxa"/>
            <w:gridSpan w:val="10"/>
            <w:shd w:val="clear" w:color="auto" w:fill="auto"/>
          </w:tcPr>
          <w:p w:rsidR="00B83DFA" w:rsidRPr="000F13EF" w:rsidRDefault="00B83DFA" w:rsidP="00DC4AAA">
            <w:pPr>
              <w:rPr>
                <w:b/>
                <w:i/>
              </w:rPr>
            </w:pPr>
            <w:r w:rsidRPr="000F13EF">
              <w:rPr>
                <w:b/>
                <w:i/>
              </w:rPr>
              <w:t xml:space="preserve">Secţiunea a 8-a                                                                                </w:t>
            </w:r>
          </w:p>
          <w:p w:rsidR="00B83DFA" w:rsidRPr="000F13EF" w:rsidRDefault="00B83DFA" w:rsidP="00B83DFA">
            <w:r w:rsidRPr="000F13EF">
              <w:rPr>
                <w:b/>
                <w:i/>
              </w:rPr>
              <w:t xml:space="preserve">Măsuri de implementare                                                                   </w:t>
            </w:r>
          </w:p>
        </w:tc>
      </w:tr>
      <w:tr w:rsidR="00B83DFA" w:rsidRPr="000F13EF" w:rsidTr="00E77CC1">
        <w:tc>
          <w:tcPr>
            <w:tcW w:w="4352" w:type="dxa"/>
            <w:gridSpan w:val="2"/>
            <w:shd w:val="clear" w:color="auto" w:fill="auto"/>
          </w:tcPr>
          <w:p w:rsidR="00B83DFA" w:rsidRPr="000F13EF" w:rsidRDefault="00B83DFA" w:rsidP="00CE0F29">
            <w:r w:rsidRPr="000F13EF">
              <w:t xml:space="preserve">1. Măsurile de punere în aplicare a   </w:t>
            </w:r>
          </w:p>
          <w:p w:rsidR="00B83DFA" w:rsidRPr="000F13EF" w:rsidRDefault="00B83DFA" w:rsidP="00DC4AAA">
            <w:r w:rsidRPr="000F13EF">
              <w:t xml:space="preserve">    proiectului de act normativ de către                                                      </w:t>
            </w:r>
          </w:p>
          <w:p w:rsidR="00B83DFA" w:rsidRPr="000F13EF" w:rsidRDefault="00B83DFA" w:rsidP="00DC4AAA">
            <w:r w:rsidRPr="000F13EF">
              <w:t xml:space="preserve">    autorităţile administraţiei publice                                                        </w:t>
            </w:r>
          </w:p>
          <w:p w:rsidR="00B83DFA" w:rsidRPr="000F13EF" w:rsidRDefault="00B83DFA" w:rsidP="00DC4AAA">
            <w:r w:rsidRPr="000F13EF">
              <w:lastRenderedPageBreak/>
              <w:t xml:space="preserve">    centrale şi/sau locale - înfiinţarea                                                       </w:t>
            </w:r>
          </w:p>
          <w:p w:rsidR="00B83DFA" w:rsidRPr="000F13EF" w:rsidRDefault="00B83DFA" w:rsidP="00DC4AAA">
            <w:r w:rsidRPr="000F13EF">
              <w:t xml:space="preserve">    unor noi organisme sau extinderea                                                         </w:t>
            </w:r>
          </w:p>
          <w:p w:rsidR="00B83DFA" w:rsidRPr="000F13EF" w:rsidRDefault="00B83DFA" w:rsidP="00DC4AAA">
            <w:r w:rsidRPr="000F13EF">
              <w:t xml:space="preserve">    competentelor instituţiilor existente</w:t>
            </w:r>
          </w:p>
        </w:tc>
        <w:tc>
          <w:tcPr>
            <w:tcW w:w="5836" w:type="dxa"/>
            <w:gridSpan w:val="8"/>
            <w:shd w:val="clear" w:color="auto" w:fill="auto"/>
          </w:tcPr>
          <w:p w:rsidR="00B83DFA" w:rsidRPr="000F13EF" w:rsidRDefault="00B83DFA" w:rsidP="00C92973">
            <w:r w:rsidRPr="000F13EF">
              <w:lastRenderedPageBreak/>
              <w:t>Proiectul de act normativ nu se referă la acest subiect.</w:t>
            </w:r>
          </w:p>
        </w:tc>
      </w:tr>
      <w:tr w:rsidR="00B83DFA" w:rsidRPr="000F13EF" w:rsidTr="00B83DFA">
        <w:trPr>
          <w:trHeight w:val="62"/>
        </w:trPr>
        <w:tc>
          <w:tcPr>
            <w:tcW w:w="4352" w:type="dxa"/>
            <w:gridSpan w:val="2"/>
            <w:shd w:val="clear" w:color="auto" w:fill="auto"/>
          </w:tcPr>
          <w:p w:rsidR="00B83DFA" w:rsidRPr="000F13EF" w:rsidRDefault="00B83DFA" w:rsidP="00CE0F29">
            <w:r w:rsidRPr="000F13EF">
              <w:lastRenderedPageBreak/>
              <w:t xml:space="preserve">2. Alte informaţii                        </w:t>
            </w:r>
          </w:p>
        </w:tc>
        <w:tc>
          <w:tcPr>
            <w:tcW w:w="5836" w:type="dxa"/>
            <w:gridSpan w:val="8"/>
            <w:shd w:val="clear" w:color="auto" w:fill="auto"/>
          </w:tcPr>
          <w:p w:rsidR="00B83DFA" w:rsidRPr="000F13EF" w:rsidRDefault="00433770" w:rsidP="00B83DFA">
            <w:pPr>
              <w:rPr>
                <w:b/>
                <w:i/>
              </w:rPr>
            </w:pPr>
            <w:r w:rsidRPr="000F13EF">
              <w:t>Proiectul de act normativ nu se referă la acest subiect</w:t>
            </w:r>
          </w:p>
        </w:tc>
      </w:tr>
    </w:tbl>
    <w:p w:rsidR="003408B1" w:rsidRPr="000F13EF" w:rsidRDefault="003408B1" w:rsidP="00071F55">
      <w:pPr>
        <w:spacing w:before="120"/>
        <w:jc w:val="both"/>
      </w:pPr>
    </w:p>
    <w:p w:rsidR="00993871" w:rsidRPr="000F13EF" w:rsidRDefault="00993871" w:rsidP="00071F55">
      <w:pPr>
        <w:spacing w:before="120"/>
        <w:jc w:val="both"/>
        <w:rPr>
          <w:b/>
          <w:i/>
        </w:rPr>
      </w:pPr>
      <w:r w:rsidRPr="000F13EF">
        <w:t>Faţă de cele prezentate, în temeiul art</w:t>
      </w:r>
      <w:r w:rsidR="00B83DFA" w:rsidRPr="000F13EF">
        <w:t>. 108 din Constituţia României, republicată</w:t>
      </w:r>
      <w:r w:rsidR="009763F8" w:rsidRPr="000F13EF">
        <w:t xml:space="preserve">, </w:t>
      </w:r>
      <w:r w:rsidRPr="000F13EF">
        <w:t xml:space="preserve">a fost elaborat proiectul de </w:t>
      </w:r>
      <w:r w:rsidR="00506FAD" w:rsidRPr="000F13EF">
        <w:rPr>
          <w:b/>
          <w:i/>
        </w:rPr>
        <w:t>Ho</w:t>
      </w:r>
      <w:r w:rsidR="00B83DFA" w:rsidRPr="000F13EF">
        <w:rPr>
          <w:b/>
          <w:i/>
        </w:rPr>
        <w:t xml:space="preserve">tărâre </w:t>
      </w:r>
      <w:r w:rsidR="00506FAD" w:rsidRPr="000F13EF">
        <w:rPr>
          <w:b/>
          <w:i/>
        </w:rPr>
        <w:t xml:space="preserve">a Guvernului </w:t>
      </w:r>
      <w:r w:rsidR="00B83DFA" w:rsidRPr="000F13EF">
        <w:rPr>
          <w:b/>
          <w:i/>
        </w:rPr>
        <w:t>pentru modificarea şi completarea Hotărârii Guvernului nr. 611/2008 pentru aprobarea normelor privind organizarea şi dezvoltarea carierei funcţionarilor publici</w:t>
      </w:r>
      <w:r w:rsidRPr="000F13EF">
        <w:rPr>
          <w:sz w:val="28"/>
          <w:szCs w:val="28"/>
        </w:rPr>
        <w:t>,</w:t>
      </w:r>
      <w:r w:rsidRPr="000F13EF">
        <w:rPr>
          <w:b/>
          <w:bCs w:val="0"/>
          <w:sz w:val="28"/>
          <w:szCs w:val="28"/>
        </w:rPr>
        <w:t xml:space="preserve"> </w:t>
      </w:r>
      <w:r w:rsidRPr="000F13EF">
        <w:t>pe care îl supunem spre aprobare.</w:t>
      </w:r>
    </w:p>
    <w:p w:rsidR="005373E4" w:rsidRPr="000F13EF" w:rsidRDefault="005373E4" w:rsidP="00993871">
      <w:pPr>
        <w:jc w:val="both"/>
        <w:rPr>
          <w:b/>
          <w:i/>
          <w:sz w:val="12"/>
          <w:szCs w:val="12"/>
        </w:rPr>
      </w:pPr>
    </w:p>
    <w:p w:rsidR="00A56B27" w:rsidRPr="000F13EF" w:rsidRDefault="00A56B27" w:rsidP="00993871">
      <w:pPr>
        <w:jc w:val="both"/>
        <w:rPr>
          <w:b/>
          <w:i/>
          <w:sz w:val="12"/>
          <w:szCs w:val="12"/>
        </w:rPr>
      </w:pPr>
    </w:p>
    <w:p w:rsidR="006D29AA" w:rsidRPr="000F13EF" w:rsidRDefault="006D29AA" w:rsidP="00993871">
      <w:pPr>
        <w:jc w:val="both"/>
        <w:rPr>
          <w:b/>
          <w:i/>
          <w:sz w:val="12"/>
          <w:szCs w:val="12"/>
        </w:rPr>
      </w:pPr>
    </w:p>
    <w:p w:rsidR="00993871" w:rsidRPr="000F13EF" w:rsidRDefault="00993871" w:rsidP="00BD7601">
      <w:pPr>
        <w:tabs>
          <w:tab w:val="center" w:pos="2106"/>
          <w:tab w:val="left" w:pos="3380"/>
          <w:tab w:val="right" w:pos="4212"/>
        </w:tabs>
        <w:jc w:val="center"/>
      </w:pPr>
      <w:r w:rsidRPr="000F13EF">
        <w:t>Viceprim – ministru</w:t>
      </w:r>
      <w:r w:rsidR="00BD7601" w:rsidRPr="000F13EF">
        <w:t>,</w:t>
      </w:r>
      <w:r w:rsidRPr="000F13EF">
        <w:t xml:space="preserve"> </w:t>
      </w:r>
    </w:p>
    <w:p w:rsidR="00993871" w:rsidRPr="000F13EF" w:rsidRDefault="00993871" w:rsidP="00BD7601">
      <w:pPr>
        <w:tabs>
          <w:tab w:val="center" w:pos="2106"/>
          <w:tab w:val="left" w:pos="3380"/>
          <w:tab w:val="right" w:pos="4212"/>
        </w:tabs>
        <w:jc w:val="center"/>
      </w:pPr>
      <w:r w:rsidRPr="000F13EF">
        <w:t>Ministrul dezvoltării regionale, administraţiei publice şi fondurilor europene</w:t>
      </w:r>
    </w:p>
    <w:p w:rsidR="00993871" w:rsidRPr="000F13EF" w:rsidRDefault="00993871" w:rsidP="00BD7601">
      <w:pPr>
        <w:jc w:val="center"/>
        <w:rPr>
          <w:b/>
          <w:sz w:val="20"/>
          <w:szCs w:val="20"/>
        </w:rPr>
      </w:pPr>
      <w:bookmarkStart w:id="1" w:name="_GoBack"/>
      <w:bookmarkEnd w:id="1"/>
    </w:p>
    <w:p w:rsidR="00993871" w:rsidRPr="000F13EF" w:rsidRDefault="00993871" w:rsidP="00BD7601">
      <w:pPr>
        <w:jc w:val="center"/>
        <w:rPr>
          <w:b/>
          <w:i/>
        </w:rPr>
      </w:pPr>
      <w:r w:rsidRPr="000F13EF">
        <w:rPr>
          <w:b/>
        </w:rPr>
        <w:t>Sevil SHHAIDEH</w:t>
      </w:r>
    </w:p>
    <w:p w:rsidR="00993871" w:rsidRPr="000F13EF" w:rsidRDefault="00993871" w:rsidP="00A56B27">
      <w:pPr>
        <w:jc w:val="center"/>
        <w:rPr>
          <w:b/>
          <w:i/>
        </w:rPr>
      </w:pPr>
    </w:p>
    <w:p w:rsidR="009763F8" w:rsidRPr="000F13EF" w:rsidRDefault="009763F8" w:rsidP="00A56B27">
      <w:pPr>
        <w:jc w:val="center"/>
        <w:rPr>
          <w:b/>
          <w:i/>
        </w:rPr>
      </w:pPr>
    </w:p>
    <w:p w:rsidR="006D29AA" w:rsidRPr="000F13EF" w:rsidRDefault="006D29AA" w:rsidP="00A56B27">
      <w:pPr>
        <w:jc w:val="center"/>
        <w:rPr>
          <w:b/>
          <w:i/>
        </w:rPr>
      </w:pPr>
    </w:p>
    <w:p w:rsidR="00993871" w:rsidRPr="000F13EF" w:rsidRDefault="00993871" w:rsidP="00BD7601">
      <w:pPr>
        <w:jc w:val="center"/>
      </w:pPr>
      <w:r w:rsidRPr="000F13EF">
        <w:t>Preşedintele Agenţiei</w:t>
      </w:r>
    </w:p>
    <w:p w:rsidR="00993871" w:rsidRPr="000F13EF" w:rsidRDefault="00993871" w:rsidP="00BD7601">
      <w:pPr>
        <w:jc w:val="center"/>
      </w:pPr>
      <w:r w:rsidRPr="000F13EF">
        <w:t>Naţionale a Funcţionarilor Publici</w:t>
      </w:r>
    </w:p>
    <w:p w:rsidR="00BD7601" w:rsidRPr="000F13EF" w:rsidRDefault="00BD7601" w:rsidP="00BD7601">
      <w:pPr>
        <w:jc w:val="center"/>
        <w:rPr>
          <w:sz w:val="20"/>
          <w:szCs w:val="20"/>
        </w:rPr>
      </w:pPr>
    </w:p>
    <w:p w:rsidR="00993871" w:rsidRPr="000F13EF" w:rsidRDefault="00E31133" w:rsidP="00BD7601">
      <w:pPr>
        <w:jc w:val="center"/>
        <w:rPr>
          <w:b/>
        </w:rPr>
      </w:pPr>
      <w:r w:rsidRPr="000F13EF">
        <w:rPr>
          <w:b/>
        </w:rPr>
        <w:t>Leonid-Augustin MOISIU</w:t>
      </w:r>
    </w:p>
    <w:p w:rsidR="00993871" w:rsidRPr="000F13EF" w:rsidRDefault="00993871" w:rsidP="00BD7601">
      <w:pPr>
        <w:jc w:val="center"/>
        <w:rPr>
          <w:b/>
        </w:rPr>
      </w:pPr>
    </w:p>
    <w:p w:rsidR="009763F8" w:rsidRPr="000F13EF" w:rsidRDefault="009763F8" w:rsidP="00BD7601">
      <w:pPr>
        <w:jc w:val="center"/>
        <w:rPr>
          <w:b/>
        </w:rPr>
      </w:pPr>
    </w:p>
    <w:p w:rsidR="00BF0E2B" w:rsidRPr="000F13EF" w:rsidRDefault="00BF0E2B" w:rsidP="00BD7601">
      <w:pPr>
        <w:jc w:val="center"/>
        <w:rPr>
          <w:b/>
        </w:rPr>
      </w:pPr>
    </w:p>
    <w:p w:rsidR="00993871" w:rsidRPr="000F13EF" w:rsidRDefault="00993871" w:rsidP="00BD7601">
      <w:pPr>
        <w:jc w:val="center"/>
        <w:rPr>
          <w:b/>
        </w:rPr>
      </w:pPr>
      <w:r w:rsidRPr="000F13EF">
        <w:rPr>
          <w:b/>
          <w:u w:val="single"/>
        </w:rPr>
        <w:t>Avizăm favorabil</w:t>
      </w:r>
      <w:r w:rsidRPr="000F13EF">
        <w:rPr>
          <w:b/>
        </w:rPr>
        <w:t>:</w:t>
      </w:r>
    </w:p>
    <w:p w:rsidR="00A56B27" w:rsidRPr="000F13EF" w:rsidRDefault="00A56B27" w:rsidP="00BD7601">
      <w:pPr>
        <w:jc w:val="center"/>
        <w:rPr>
          <w:b/>
        </w:rPr>
      </w:pPr>
    </w:p>
    <w:p w:rsidR="00A56B27" w:rsidRPr="000F13EF" w:rsidRDefault="00A56B27" w:rsidP="00BD7601">
      <w:pPr>
        <w:jc w:val="center"/>
      </w:pPr>
      <w:r w:rsidRPr="000F13EF">
        <w:t>Secretarul general al Guvernului</w:t>
      </w:r>
    </w:p>
    <w:p w:rsidR="00A56B27" w:rsidRPr="000F13EF" w:rsidRDefault="00A56B27" w:rsidP="00A56B27">
      <w:pPr>
        <w:jc w:val="center"/>
      </w:pPr>
    </w:p>
    <w:p w:rsidR="00A56B27" w:rsidRPr="000F13EF" w:rsidRDefault="00A56B27" w:rsidP="00A56B27">
      <w:pPr>
        <w:jc w:val="center"/>
        <w:rPr>
          <w:b/>
        </w:rPr>
      </w:pPr>
      <w:r w:rsidRPr="000F13EF">
        <w:rPr>
          <w:b/>
        </w:rPr>
        <w:t xml:space="preserve">Mihai BUSUIOC </w:t>
      </w:r>
    </w:p>
    <w:p w:rsidR="00A56B27" w:rsidRPr="000F13EF" w:rsidRDefault="00A56B27" w:rsidP="00A56B27">
      <w:pPr>
        <w:jc w:val="center"/>
      </w:pPr>
    </w:p>
    <w:p w:rsidR="00A56B27" w:rsidRPr="000F13EF" w:rsidRDefault="00A56B27" w:rsidP="00A56B27">
      <w:pPr>
        <w:jc w:val="center"/>
      </w:pPr>
    </w:p>
    <w:p w:rsidR="00A56B27" w:rsidRPr="000F13EF" w:rsidRDefault="00A56B27" w:rsidP="00A56B27">
      <w:pPr>
        <w:jc w:val="center"/>
      </w:pPr>
    </w:p>
    <w:p w:rsidR="00A56B27" w:rsidRPr="000F13EF" w:rsidRDefault="00A56B27" w:rsidP="00A56B27">
      <w:pPr>
        <w:jc w:val="center"/>
      </w:pPr>
      <w:r w:rsidRPr="000F13EF">
        <w:t>Ministrul muncii și justiției sociale</w:t>
      </w:r>
    </w:p>
    <w:p w:rsidR="00A56B27" w:rsidRPr="000F13EF" w:rsidRDefault="00A56B27" w:rsidP="00A56B27">
      <w:pPr>
        <w:jc w:val="center"/>
      </w:pPr>
    </w:p>
    <w:p w:rsidR="00BD7601" w:rsidRPr="000F13EF" w:rsidRDefault="00A56B27" w:rsidP="00A56B27">
      <w:pPr>
        <w:jc w:val="center"/>
        <w:rPr>
          <w:b/>
        </w:rPr>
      </w:pPr>
      <w:r w:rsidRPr="000F13EF">
        <w:rPr>
          <w:b/>
        </w:rPr>
        <w:t>Lia - Olguța VASILESCU</w:t>
      </w:r>
    </w:p>
    <w:p w:rsidR="00A56B27" w:rsidRPr="000F13EF" w:rsidRDefault="00A56B27" w:rsidP="00A56B27">
      <w:pPr>
        <w:jc w:val="center"/>
      </w:pPr>
    </w:p>
    <w:p w:rsidR="00A56B27" w:rsidRPr="000F13EF" w:rsidRDefault="00A56B27" w:rsidP="00A56B27">
      <w:pPr>
        <w:jc w:val="center"/>
      </w:pPr>
    </w:p>
    <w:p w:rsidR="00A56B27" w:rsidRPr="000F13EF" w:rsidRDefault="00A56B27" w:rsidP="00A56B27">
      <w:pPr>
        <w:jc w:val="center"/>
      </w:pPr>
    </w:p>
    <w:p w:rsidR="00993871" w:rsidRPr="000F13EF" w:rsidRDefault="00993871" w:rsidP="00BD7601">
      <w:pPr>
        <w:jc w:val="center"/>
      </w:pPr>
      <w:r w:rsidRPr="000F13EF">
        <w:t>Ministrul finanţelor publice</w:t>
      </w:r>
    </w:p>
    <w:p w:rsidR="00BD7601" w:rsidRPr="000F13EF" w:rsidRDefault="00BD7601" w:rsidP="00BD7601">
      <w:pPr>
        <w:jc w:val="center"/>
        <w:rPr>
          <w:b/>
          <w:sz w:val="20"/>
          <w:szCs w:val="20"/>
        </w:rPr>
      </w:pPr>
    </w:p>
    <w:p w:rsidR="00993871" w:rsidRPr="000F13EF" w:rsidRDefault="00E31133" w:rsidP="00BD7601">
      <w:pPr>
        <w:jc w:val="center"/>
        <w:rPr>
          <w:b/>
        </w:rPr>
      </w:pPr>
      <w:r w:rsidRPr="000F13EF">
        <w:rPr>
          <w:b/>
        </w:rPr>
        <w:t>Ionuţ MIŞA</w:t>
      </w:r>
    </w:p>
    <w:p w:rsidR="00D91368" w:rsidRPr="000F13EF" w:rsidRDefault="00D91368" w:rsidP="00BD7601">
      <w:pPr>
        <w:jc w:val="center"/>
      </w:pPr>
    </w:p>
    <w:p w:rsidR="00896577" w:rsidRPr="000F13EF" w:rsidRDefault="00896577" w:rsidP="00BD7601">
      <w:pPr>
        <w:jc w:val="center"/>
      </w:pPr>
    </w:p>
    <w:p w:rsidR="006D29AA" w:rsidRPr="000F13EF" w:rsidRDefault="006D29AA" w:rsidP="00BD7601">
      <w:pPr>
        <w:jc w:val="center"/>
      </w:pPr>
    </w:p>
    <w:p w:rsidR="00993871" w:rsidRPr="000F13EF" w:rsidRDefault="00993871" w:rsidP="00BD7601">
      <w:pPr>
        <w:jc w:val="center"/>
      </w:pPr>
      <w:r w:rsidRPr="000F13EF">
        <w:t>Ministrul justiţiei</w:t>
      </w:r>
    </w:p>
    <w:p w:rsidR="00BD7601" w:rsidRPr="000F13EF" w:rsidRDefault="00BD7601" w:rsidP="00BD7601">
      <w:pPr>
        <w:jc w:val="center"/>
        <w:rPr>
          <w:sz w:val="20"/>
          <w:szCs w:val="20"/>
        </w:rPr>
      </w:pPr>
    </w:p>
    <w:p w:rsidR="00993871" w:rsidRPr="000F13EF" w:rsidRDefault="00BD7601" w:rsidP="00D91368">
      <w:pPr>
        <w:spacing w:line="360" w:lineRule="auto"/>
        <w:jc w:val="center"/>
      </w:pPr>
      <w:r w:rsidRPr="000F13EF">
        <w:rPr>
          <w:b/>
        </w:rPr>
        <w:t>Tudorel TOADER</w:t>
      </w:r>
    </w:p>
    <w:sectPr w:rsidR="00993871" w:rsidRPr="000F13EF" w:rsidSect="00B83DFA">
      <w:footerReference w:type="even" r:id="rId8"/>
      <w:footerReference w:type="default" r:id="rId9"/>
      <w:pgSz w:w="12240" w:h="15840"/>
      <w:pgMar w:top="284" w:right="720" w:bottom="70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3E" w:rsidRDefault="00CD043E">
      <w:r>
        <w:separator/>
      </w:r>
    </w:p>
  </w:endnote>
  <w:endnote w:type="continuationSeparator" w:id="0">
    <w:p w:rsidR="00CD043E" w:rsidRDefault="00CD04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73" w:rsidRDefault="00AD6EA6" w:rsidP="0001700E">
    <w:pPr>
      <w:pStyle w:val="Footer"/>
      <w:framePr w:wrap="around" w:vAnchor="text" w:hAnchor="margin" w:xAlign="right" w:y="1"/>
      <w:rPr>
        <w:rStyle w:val="PageNumber"/>
      </w:rPr>
    </w:pPr>
    <w:r>
      <w:rPr>
        <w:rStyle w:val="PageNumber"/>
      </w:rPr>
      <w:fldChar w:fldCharType="begin"/>
    </w:r>
    <w:r w:rsidR="00C92973">
      <w:rPr>
        <w:rStyle w:val="PageNumber"/>
      </w:rPr>
      <w:instrText xml:space="preserve">PAGE  </w:instrText>
    </w:r>
    <w:r>
      <w:rPr>
        <w:rStyle w:val="PageNumber"/>
      </w:rPr>
      <w:fldChar w:fldCharType="end"/>
    </w:r>
  </w:p>
  <w:p w:rsidR="00C92973" w:rsidRDefault="00C92973" w:rsidP="008355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73" w:rsidRDefault="00AD6EA6" w:rsidP="0001700E">
    <w:pPr>
      <w:pStyle w:val="Footer"/>
      <w:framePr w:wrap="around" w:vAnchor="text" w:hAnchor="margin" w:xAlign="right" w:y="1"/>
      <w:rPr>
        <w:rStyle w:val="PageNumber"/>
      </w:rPr>
    </w:pPr>
    <w:r>
      <w:rPr>
        <w:rStyle w:val="PageNumber"/>
      </w:rPr>
      <w:fldChar w:fldCharType="begin"/>
    </w:r>
    <w:r w:rsidR="00C92973">
      <w:rPr>
        <w:rStyle w:val="PageNumber"/>
      </w:rPr>
      <w:instrText xml:space="preserve">PAGE  </w:instrText>
    </w:r>
    <w:r>
      <w:rPr>
        <w:rStyle w:val="PageNumber"/>
      </w:rPr>
      <w:fldChar w:fldCharType="separate"/>
    </w:r>
    <w:r w:rsidR="000F13EF">
      <w:rPr>
        <w:rStyle w:val="PageNumber"/>
        <w:noProof/>
      </w:rPr>
      <w:t>13</w:t>
    </w:r>
    <w:r>
      <w:rPr>
        <w:rStyle w:val="PageNumber"/>
      </w:rPr>
      <w:fldChar w:fldCharType="end"/>
    </w:r>
  </w:p>
  <w:p w:rsidR="00C92973" w:rsidRDefault="00C92973" w:rsidP="008355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3E" w:rsidRDefault="00CD043E">
      <w:r>
        <w:separator/>
      </w:r>
    </w:p>
  </w:footnote>
  <w:footnote w:type="continuationSeparator" w:id="0">
    <w:p w:rsidR="00CD043E" w:rsidRDefault="00CD0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8C9"/>
    <w:multiLevelType w:val="hybridMultilevel"/>
    <w:tmpl w:val="DF5A34A4"/>
    <w:lvl w:ilvl="0" w:tplc="0F64D976">
      <w:start w:val="1"/>
      <w:numFmt w:val="bullet"/>
      <w:lvlText w:val=""/>
      <w:lvlJc w:val="left"/>
      <w:pPr>
        <w:ind w:left="2880" w:hanging="360"/>
      </w:pPr>
      <w:rPr>
        <w:rFonts w:ascii="Wingdings" w:hAnsi="Wingdings" w:hint="default"/>
        <w:b w:val="0"/>
        <w:i w:val="0"/>
        <w:color w:val="3366FF"/>
        <w:sz w:val="24"/>
        <w:szCs w:val="24"/>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
    <w:nsid w:val="1B107975"/>
    <w:multiLevelType w:val="hybridMultilevel"/>
    <w:tmpl w:val="E76242A0"/>
    <w:lvl w:ilvl="0" w:tplc="04180001">
      <w:start w:val="1"/>
      <w:numFmt w:val="bullet"/>
      <w:lvlText w:val=""/>
      <w:lvlJc w:val="left"/>
      <w:pPr>
        <w:ind w:left="772" w:hanging="360"/>
      </w:pPr>
      <w:rPr>
        <w:rFonts w:ascii="Symbol" w:hAnsi="Symbol" w:hint="default"/>
      </w:rPr>
    </w:lvl>
    <w:lvl w:ilvl="1" w:tplc="04180003" w:tentative="1">
      <w:start w:val="1"/>
      <w:numFmt w:val="bullet"/>
      <w:lvlText w:val="o"/>
      <w:lvlJc w:val="left"/>
      <w:pPr>
        <w:ind w:left="1492" w:hanging="360"/>
      </w:pPr>
      <w:rPr>
        <w:rFonts w:ascii="Courier New" w:hAnsi="Courier New" w:cs="Courier New" w:hint="default"/>
      </w:rPr>
    </w:lvl>
    <w:lvl w:ilvl="2" w:tplc="04180005" w:tentative="1">
      <w:start w:val="1"/>
      <w:numFmt w:val="bullet"/>
      <w:lvlText w:val=""/>
      <w:lvlJc w:val="left"/>
      <w:pPr>
        <w:ind w:left="2212" w:hanging="360"/>
      </w:pPr>
      <w:rPr>
        <w:rFonts w:ascii="Wingdings" w:hAnsi="Wingdings" w:hint="default"/>
      </w:rPr>
    </w:lvl>
    <w:lvl w:ilvl="3" w:tplc="04180001" w:tentative="1">
      <w:start w:val="1"/>
      <w:numFmt w:val="bullet"/>
      <w:lvlText w:val=""/>
      <w:lvlJc w:val="left"/>
      <w:pPr>
        <w:ind w:left="2932" w:hanging="360"/>
      </w:pPr>
      <w:rPr>
        <w:rFonts w:ascii="Symbol" w:hAnsi="Symbol" w:hint="default"/>
      </w:rPr>
    </w:lvl>
    <w:lvl w:ilvl="4" w:tplc="04180003" w:tentative="1">
      <w:start w:val="1"/>
      <w:numFmt w:val="bullet"/>
      <w:lvlText w:val="o"/>
      <w:lvlJc w:val="left"/>
      <w:pPr>
        <w:ind w:left="3652" w:hanging="360"/>
      </w:pPr>
      <w:rPr>
        <w:rFonts w:ascii="Courier New" w:hAnsi="Courier New" w:cs="Courier New" w:hint="default"/>
      </w:rPr>
    </w:lvl>
    <w:lvl w:ilvl="5" w:tplc="04180005" w:tentative="1">
      <w:start w:val="1"/>
      <w:numFmt w:val="bullet"/>
      <w:lvlText w:val=""/>
      <w:lvlJc w:val="left"/>
      <w:pPr>
        <w:ind w:left="4372" w:hanging="360"/>
      </w:pPr>
      <w:rPr>
        <w:rFonts w:ascii="Wingdings" w:hAnsi="Wingdings" w:hint="default"/>
      </w:rPr>
    </w:lvl>
    <w:lvl w:ilvl="6" w:tplc="04180001" w:tentative="1">
      <w:start w:val="1"/>
      <w:numFmt w:val="bullet"/>
      <w:lvlText w:val=""/>
      <w:lvlJc w:val="left"/>
      <w:pPr>
        <w:ind w:left="5092" w:hanging="360"/>
      </w:pPr>
      <w:rPr>
        <w:rFonts w:ascii="Symbol" w:hAnsi="Symbol" w:hint="default"/>
      </w:rPr>
    </w:lvl>
    <w:lvl w:ilvl="7" w:tplc="04180003" w:tentative="1">
      <w:start w:val="1"/>
      <w:numFmt w:val="bullet"/>
      <w:lvlText w:val="o"/>
      <w:lvlJc w:val="left"/>
      <w:pPr>
        <w:ind w:left="5812" w:hanging="360"/>
      </w:pPr>
      <w:rPr>
        <w:rFonts w:ascii="Courier New" w:hAnsi="Courier New" w:cs="Courier New" w:hint="default"/>
      </w:rPr>
    </w:lvl>
    <w:lvl w:ilvl="8" w:tplc="04180005" w:tentative="1">
      <w:start w:val="1"/>
      <w:numFmt w:val="bullet"/>
      <w:lvlText w:val=""/>
      <w:lvlJc w:val="left"/>
      <w:pPr>
        <w:ind w:left="6532" w:hanging="360"/>
      </w:pPr>
      <w:rPr>
        <w:rFonts w:ascii="Wingdings" w:hAnsi="Wingdings" w:hint="default"/>
      </w:rPr>
    </w:lvl>
  </w:abstractNum>
  <w:abstractNum w:abstractNumId="2">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C2171AC"/>
    <w:multiLevelType w:val="hybridMultilevel"/>
    <w:tmpl w:val="B24EFFE0"/>
    <w:lvl w:ilvl="0" w:tplc="7BDAFA58">
      <w:start w:val="201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7055917"/>
    <w:multiLevelType w:val="hybridMultilevel"/>
    <w:tmpl w:val="E758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0"/>
  </w:num>
  <w:num w:numId="6">
    <w:abstractNumId w:val="11"/>
  </w:num>
  <w:num w:numId="7">
    <w:abstractNumId w:val="8"/>
  </w:num>
  <w:num w:numId="8">
    <w:abstractNumId w:val="7"/>
  </w:num>
  <w:num w:numId="9">
    <w:abstractNumId w:val="3"/>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1F4802"/>
    <w:rsid w:val="00001707"/>
    <w:rsid w:val="0000379B"/>
    <w:rsid w:val="00004391"/>
    <w:rsid w:val="00005717"/>
    <w:rsid w:val="000058A4"/>
    <w:rsid w:val="00012F14"/>
    <w:rsid w:val="0001700E"/>
    <w:rsid w:val="000175E0"/>
    <w:rsid w:val="000243CF"/>
    <w:rsid w:val="0003271F"/>
    <w:rsid w:val="00040F90"/>
    <w:rsid w:val="00043460"/>
    <w:rsid w:val="00044126"/>
    <w:rsid w:val="000474EF"/>
    <w:rsid w:val="0005142D"/>
    <w:rsid w:val="00051EAC"/>
    <w:rsid w:val="00053032"/>
    <w:rsid w:val="00053EB2"/>
    <w:rsid w:val="00056C43"/>
    <w:rsid w:val="00066668"/>
    <w:rsid w:val="00067ADF"/>
    <w:rsid w:val="00071F55"/>
    <w:rsid w:val="00072409"/>
    <w:rsid w:val="00072470"/>
    <w:rsid w:val="00077488"/>
    <w:rsid w:val="00077B17"/>
    <w:rsid w:val="00083160"/>
    <w:rsid w:val="000850AB"/>
    <w:rsid w:val="00087D4E"/>
    <w:rsid w:val="00091095"/>
    <w:rsid w:val="000A1E20"/>
    <w:rsid w:val="000A70F7"/>
    <w:rsid w:val="000C0739"/>
    <w:rsid w:val="000D0604"/>
    <w:rsid w:val="000D362D"/>
    <w:rsid w:val="000D47A2"/>
    <w:rsid w:val="000D4F50"/>
    <w:rsid w:val="000D6F5F"/>
    <w:rsid w:val="000E793D"/>
    <w:rsid w:val="000F13EF"/>
    <w:rsid w:val="000F70A8"/>
    <w:rsid w:val="00103774"/>
    <w:rsid w:val="00107A49"/>
    <w:rsid w:val="00110123"/>
    <w:rsid w:val="0012307A"/>
    <w:rsid w:val="001337EB"/>
    <w:rsid w:val="00134183"/>
    <w:rsid w:val="00137A60"/>
    <w:rsid w:val="001421DE"/>
    <w:rsid w:val="001446D7"/>
    <w:rsid w:val="001527A5"/>
    <w:rsid w:val="00153B87"/>
    <w:rsid w:val="001545AF"/>
    <w:rsid w:val="00161AA2"/>
    <w:rsid w:val="0016533D"/>
    <w:rsid w:val="00167360"/>
    <w:rsid w:val="0018483B"/>
    <w:rsid w:val="0018562E"/>
    <w:rsid w:val="00185A36"/>
    <w:rsid w:val="00191670"/>
    <w:rsid w:val="001B0230"/>
    <w:rsid w:val="001B1A92"/>
    <w:rsid w:val="001B40B0"/>
    <w:rsid w:val="001C04C5"/>
    <w:rsid w:val="001C09F4"/>
    <w:rsid w:val="001C1B2E"/>
    <w:rsid w:val="001D26DF"/>
    <w:rsid w:val="001D5593"/>
    <w:rsid w:val="001D624E"/>
    <w:rsid w:val="001D65BC"/>
    <w:rsid w:val="001E1B82"/>
    <w:rsid w:val="001E2524"/>
    <w:rsid w:val="001E3666"/>
    <w:rsid w:val="001E59E3"/>
    <w:rsid w:val="001F0727"/>
    <w:rsid w:val="001F2A20"/>
    <w:rsid w:val="001F32ED"/>
    <w:rsid w:val="001F4802"/>
    <w:rsid w:val="001F4A8C"/>
    <w:rsid w:val="001F5BED"/>
    <w:rsid w:val="001F677C"/>
    <w:rsid w:val="00200B57"/>
    <w:rsid w:val="002027C1"/>
    <w:rsid w:val="00207B5A"/>
    <w:rsid w:val="0021024A"/>
    <w:rsid w:val="002102A3"/>
    <w:rsid w:val="0021384E"/>
    <w:rsid w:val="00214824"/>
    <w:rsid w:val="00214DD1"/>
    <w:rsid w:val="00216047"/>
    <w:rsid w:val="00227E85"/>
    <w:rsid w:val="00234374"/>
    <w:rsid w:val="00235B3C"/>
    <w:rsid w:val="002400B3"/>
    <w:rsid w:val="00241A3D"/>
    <w:rsid w:val="00243F7C"/>
    <w:rsid w:val="002440C1"/>
    <w:rsid w:val="00253E5E"/>
    <w:rsid w:val="002554FC"/>
    <w:rsid w:val="0025735D"/>
    <w:rsid w:val="002577E6"/>
    <w:rsid w:val="00262490"/>
    <w:rsid w:val="00263ADB"/>
    <w:rsid w:val="0026427B"/>
    <w:rsid w:val="00266F88"/>
    <w:rsid w:val="00271CEE"/>
    <w:rsid w:val="00272B0B"/>
    <w:rsid w:val="00280BFB"/>
    <w:rsid w:val="00281235"/>
    <w:rsid w:val="00281B39"/>
    <w:rsid w:val="00290BF1"/>
    <w:rsid w:val="00295C12"/>
    <w:rsid w:val="00296884"/>
    <w:rsid w:val="00297C9C"/>
    <w:rsid w:val="002A0C61"/>
    <w:rsid w:val="002B3844"/>
    <w:rsid w:val="002B41C3"/>
    <w:rsid w:val="002B53AC"/>
    <w:rsid w:val="002B6BD4"/>
    <w:rsid w:val="002C0E9E"/>
    <w:rsid w:val="002C1343"/>
    <w:rsid w:val="002C701E"/>
    <w:rsid w:val="002D23F5"/>
    <w:rsid w:val="002D2515"/>
    <w:rsid w:val="002E6DC0"/>
    <w:rsid w:val="002F0B4F"/>
    <w:rsid w:val="002F0EA0"/>
    <w:rsid w:val="002F20F5"/>
    <w:rsid w:val="002F4728"/>
    <w:rsid w:val="00303BCE"/>
    <w:rsid w:val="00303F7F"/>
    <w:rsid w:val="00312FDA"/>
    <w:rsid w:val="0031379D"/>
    <w:rsid w:val="00313E87"/>
    <w:rsid w:val="0031400E"/>
    <w:rsid w:val="00317455"/>
    <w:rsid w:val="00317A73"/>
    <w:rsid w:val="00323495"/>
    <w:rsid w:val="00326CD8"/>
    <w:rsid w:val="00330AFA"/>
    <w:rsid w:val="003316B5"/>
    <w:rsid w:val="003408B1"/>
    <w:rsid w:val="00342BA8"/>
    <w:rsid w:val="00350B43"/>
    <w:rsid w:val="003519A7"/>
    <w:rsid w:val="0035404C"/>
    <w:rsid w:val="00354A0E"/>
    <w:rsid w:val="003566F3"/>
    <w:rsid w:val="0036657A"/>
    <w:rsid w:val="003747A9"/>
    <w:rsid w:val="003821CC"/>
    <w:rsid w:val="003836EC"/>
    <w:rsid w:val="0038424F"/>
    <w:rsid w:val="0039033D"/>
    <w:rsid w:val="00390B1E"/>
    <w:rsid w:val="00390D79"/>
    <w:rsid w:val="00395750"/>
    <w:rsid w:val="00396594"/>
    <w:rsid w:val="003A1764"/>
    <w:rsid w:val="003A4583"/>
    <w:rsid w:val="003A7240"/>
    <w:rsid w:val="003B181E"/>
    <w:rsid w:val="003B2241"/>
    <w:rsid w:val="003B42A8"/>
    <w:rsid w:val="003B53C9"/>
    <w:rsid w:val="003D1204"/>
    <w:rsid w:val="003D234C"/>
    <w:rsid w:val="003D56C4"/>
    <w:rsid w:val="003D6278"/>
    <w:rsid w:val="003E4914"/>
    <w:rsid w:val="00401A06"/>
    <w:rsid w:val="00401E94"/>
    <w:rsid w:val="004100F2"/>
    <w:rsid w:val="00415E53"/>
    <w:rsid w:val="004179D5"/>
    <w:rsid w:val="004200DA"/>
    <w:rsid w:val="00420CA5"/>
    <w:rsid w:val="0042611E"/>
    <w:rsid w:val="004270EC"/>
    <w:rsid w:val="00430151"/>
    <w:rsid w:val="00433770"/>
    <w:rsid w:val="00433A10"/>
    <w:rsid w:val="00440498"/>
    <w:rsid w:val="00444E40"/>
    <w:rsid w:val="00452CC9"/>
    <w:rsid w:val="00460E70"/>
    <w:rsid w:val="00460FAE"/>
    <w:rsid w:val="00461AA1"/>
    <w:rsid w:val="0047052B"/>
    <w:rsid w:val="0047316E"/>
    <w:rsid w:val="00474752"/>
    <w:rsid w:val="00476F37"/>
    <w:rsid w:val="004A26D1"/>
    <w:rsid w:val="004A347E"/>
    <w:rsid w:val="004A7578"/>
    <w:rsid w:val="004A7F40"/>
    <w:rsid w:val="004B187F"/>
    <w:rsid w:val="004B5E4E"/>
    <w:rsid w:val="004D3BE4"/>
    <w:rsid w:val="004E3823"/>
    <w:rsid w:val="004E68DE"/>
    <w:rsid w:val="004E71BA"/>
    <w:rsid w:val="004F050F"/>
    <w:rsid w:val="004F18EB"/>
    <w:rsid w:val="004F213F"/>
    <w:rsid w:val="004F34F2"/>
    <w:rsid w:val="004F4E1F"/>
    <w:rsid w:val="004F74D1"/>
    <w:rsid w:val="00505AF9"/>
    <w:rsid w:val="00506FAD"/>
    <w:rsid w:val="00507CDB"/>
    <w:rsid w:val="005162F5"/>
    <w:rsid w:val="0052720E"/>
    <w:rsid w:val="005274D2"/>
    <w:rsid w:val="005348D8"/>
    <w:rsid w:val="00535D54"/>
    <w:rsid w:val="00536DE1"/>
    <w:rsid w:val="005373E4"/>
    <w:rsid w:val="00544CCC"/>
    <w:rsid w:val="00546FB5"/>
    <w:rsid w:val="00547209"/>
    <w:rsid w:val="005474BF"/>
    <w:rsid w:val="00561709"/>
    <w:rsid w:val="00561FF7"/>
    <w:rsid w:val="00562872"/>
    <w:rsid w:val="00573F5F"/>
    <w:rsid w:val="005759EF"/>
    <w:rsid w:val="00580ED6"/>
    <w:rsid w:val="00597EE3"/>
    <w:rsid w:val="005B281A"/>
    <w:rsid w:val="005C68CF"/>
    <w:rsid w:val="005D141E"/>
    <w:rsid w:val="005D2A89"/>
    <w:rsid w:val="005E0598"/>
    <w:rsid w:val="005E0BA0"/>
    <w:rsid w:val="005E19B7"/>
    <w:rsid w:val="005E3FBD"/>
    <w:rsid w:val="005E5E62"/>
    <w:rsid w:val="005F2D67"/>
    <w:rsid w:val="005F53F8"/>
    <w:rsid w:val="005F758B"/>
    <w:rsid w:val="00603AF4"/>
    <w:rsid w:val="0060468A"/>
    <w:rsid w:val="0060507F"/>
    <w:rsid w:val="0061148E"/>
    <w:rsid w:val="00615A0D"/>
    <w:rsid w:val="00616A24"/>
    <w:rsid w:val="00617155"/>
    <w:rsid w:val="00617235"/>
    <w:rsid w:val="00621A51"/>
    <w:rsid w:val="00643164"/>
    <w:rsid w:val="006459B4"/>
    <w:rsid w:val="00646267"/>
    <w:rsid w:val="00646312"/>
    <w:rsid w:val="006470AC"/>
    <w:rsid w:val="00657857"/>
    <w:rsid w:val="00662CAE"/>
    <w:rsid w:val="0068378B"/>
    <w:rsid w:val="00683B0F"/>
    <w:rsid w:val="00685E91"/>
    <w:rsid w:val="006954B0"/>
    <w:rsid w:val="00695A32"/>
    <w:rsid w:val="006A38E0"/>
    <w:rsid w:val="006A7406"/>
    <w:rsid w:val="006B02D6"/>
    <w:rsid w:val="006B389E"/>
    <w:rsid w:val="006B5FA7"/>
    <w:rsid w:val="006C224F"/>
    <w:rsid w:val="006C2C19"/>
    <w:rsid w:val="006C385E"/>
    <w:rsid w:val="006C477F"/>
    <w:rsid w:val="006C6A54"/>
    <w:rsid w:val="006D29AA"/>
    <w:rsid w:val="006D78DB"/>
    <w:rsid w:val="006F1B54"/>
    <w:rsid w:val="006F6C55"/>
    <w:rsid w:val="00702D2D"/>
    <w:rsid w:val="0070372A"/>
    <w:rsid w:val="00703A59"/>
    <w:rsid w:val="00703E52"/>
    <w:rsid w:val="00705329"/>
    <w:rsid w:val="0070545A"/>
    <w:rsid w:val="00712CD2"/>
    <w:rsid w:val="0071601B"/>
    <w:rsid w:val="007176B2"/>
    <w:rsid w:val="00723608"/>
    <w:rsid w:val="00723D38"/>
    <w:rsid w:val="007270C6"/>
    <w:rsid w:val="00730C35"/>
    <w:rsid w:val="007375AF"/>
    <w:rsid w:val="007449AD"/>
    <w:rsid w:val="00745D95"/>
    <w:rsid w:val="0074724E"/>
    <w:rsid w:val="0075491D"/>
    <w:rsid w:val="007633ED"/>
    <w:rsid w:val="0077721B"/>
    <w:rsid w:val="00784AC9"/>
    <w:rsid w:val="00785C11"/>
    <w:rsid w:val="00786A1A"/>
    <w:rsid w:val="00787D68"/>
    <w:rsid w:val="00790C03"/>
    <w:rsid w:val="00793EC4"/>
    <w:rsid w:val="00794D00"/>
    <w:rsid w:val="00796725"/>
    <w:rsid w:val="007A24D4"/>
    <w:rsid w:val="007B442F"/>
    <w:rsid w:val="007B5F43"/>
    <w:rsid w:val="007B687E"/>
    <w:rsid w:val="007C4669"/>
    <w:rsid w:val="007C485B"/>
    <w:rsid w:val="007C551E"/>
    <w:rsid w:val="007C5B8C"/>
    <w:rsid w:val="007C650F"/>
    <w:rsid w:val="007D07A2"/>
    <w:rsid w:val="007D2542"/>
    <w:rsid w:val="007D7EDB"/>
    <w:rsid w:val="007E361B"/>
    <w:rsid w:val="007E49E1"/>
    <w:rsid w:val="007E62AD"/>
    <w:rsid w:val="007F1922"/>
    <w:rsid w:val="00801125"/>
    <w:rsid w:val="00804D55"/>
    <w:rsid w:val="00813D16"/>
    <w:rsid w:val="00814441"/>
    <w:rsid w:val="008147C7"/>
    <w:rsid w:val="00815EE0"/>
    <w:rsid w:val="00816E45"/>
    <w:rsid w:val="008237DB"/>
    <w:rsid w:val="00831B81"/>
    <w:rsid w:val="00835545"/>
    <w:rsid w:val="00840422"/>
    <w:rsid w:val="0085236D"/>
    <w:rsid w:val="008535AA"/>
    <w:rsid w:val="00866C7B"/>
    <w:rsid w:val="00876715"/>
    <w:rsid w:val="0087770C"/>
    <w:rsid w:val="00877799"/>
    <w:rsid w:val="00881118"/>
    <w:rsid w:val="008823B1"/>
    <w:rsid w:val="00882CA5"/>
    <w:rsid w:val="00883C82"/>
    <w:rsid w:val="0088424B"/>
    <w:rsid w:val="00890443"/>
    <w:rsid w:val="008922C9"/>
    <w:rsid w:val="00893ABD"/>
    <w:rsid w:val="00894310"/>
    <w:rsid w:val="00896577"/>
    <w:rsid w:val="008B03B8"/>
    <w:rsid w:val="008B08F0"/>
    <w:rsid w:val="008B2C69"/>
    <w:rsid w:val="008B4369"/>
    <w:rsid w:val="008B7E38"/>
    <w:rsid w:val="008C16CB"/>
    <w:rsid w:val="008C31B7"/>
    <w:rsid w:val="008C37FE"/>
    <w:rsid w:val="008C3891"/>
    <w:rsid w:val="008E6925"/>
    <w:rsid w:val="008E771E"/>
    <w:rsid w:val="008F353D"/>
    <w:rsid w:val="008F3AC7"/>
    <w:rsid w:val="00900A53"/>
    <w:rsid w:val="00902958"/>
    <w:rsid w:val="009125AD"/>
    <w:rsid w:val="0091398F"/>
    <w:rsid w:val="0091508D"/>
    <w:rsid w:val="00917D62"/>
    <w:rsid w:val="00920A6B"/>
    <w:rsid w:val="00920DB4"/>
    <w:rsid w:val="00921926"/>
    <w:rsid w:val="00927DA2"/>
    <w:rsid w:val="00945333"/>
    <w:rsid w:val="009532D2"/>
    <w:rsid w:val="009543E0"/>
    <w:rsid w:val="00954BEA"/>
    <w:rsid w:val="00957142"/>
    <w:rsid w:val="00960D92"/>
    <w:rsid w:val="009673B9"/>
    <w:rsid w:val="00971640"/>
    <w:rsid w:val="009730A4"/>
    <w:rsid w:val="00973689"/>
    <w:rsid w:val="009763F8"/>
    <w:rsid w:val="009766B9"/>
    <w:rsid w:val="009800F0"/>
    <w:rsid w:val="009801CD"/>
    <w:rsid w:val="00986D40"/>
    <w:rsid w:val="00992671"/>
    <w:rsid w:val="00993871"/>
    <w:rsid w:val="00993BE5"/>
    <w:rsid w:val="00994262"/>
    <w:rsid w:val="00994E5D"/>
    <w:rsid w:val="009A0F94"/>
    <w:rsid w:val="009A1135"/>
    <w:rsid w:val="009A449D"/>
    <w:rsid w:val="009A7B88"/>
    <w:rsid w:val="009A7E23"/>
    <w:rsid w:val="009B5CBF"/>
    <w:rsid w:val="009B6917"/>
    <w:rsid w:val="009B6B94"/>
    <w:rsid w:val="009B7C2A"/>
    <w:rsid w:val="009C019C"/>
    <w:rsid w:val="009D39D4"/>
    <w:rsid w:val="009F4416"/>
    <w:rsid w:val="009F4D9C"/>
    <w:rsid w:val="009F6830"/>
    <w:rsid w:val="00A00524"/>
    <w:rsid w:val="00A046A5"/>
    <w:rsid w:val="00A12C23"/>
    <w:rsid w:val="00A175A4"/>
    <w:rsid w:val="00A23A24"/>
    <w:rsid w:val="00A271FB"/>
    <w:rsid w:val="00A30353"/>
    <w:rsid w:val="00A33EE4"/>
    <w:rsid w:val="00A376E8"/>
    <w:rsid w:val="00A443C3"/>
    <w:rsid w:val="00A452B5"/>
    <w:rsid w:val="00A46DBE"/>
    <w:rsid w:val="00A54043"/>
    <w:rsid w:val="00A56B27"/>
    <w:rsid w:val="00A56CB9"/>
    <w:rsid w:val="00A62241"/>
    <w:rsid w:val="00A751BA"/>
    <w:rsid w:val="00A821D8"/>
    <w:rsid w:val="00A94357"/>
    <w:rsid w:val="00AA1669"/>
    <w:rsid w:val="00AA3009"/>
    <w:rsid w:val="00AA3256"/>
    <w:rsid w:val="00AA39F3"/>
    <w:rsid w:val="00AA4081"/>
    <w:rsid w:val="00AB2A0B"/>
    <w:rsid w:val="00AB4E56"/>
    <w:rsid w:val="00AC0FA6"/>
    <w:rsid w:val="00AC2B90"/>
    <w:rsid w:val="00AC3188"/>
    <w:rsid w:val="00AC71A1"/>
    <w:rsid w:val="00AC7A34"/>
    <w:rsid w:val="00AD0CF3"/>
    <w:rsid w:val="00AD31AC"/>
    <w:rsid w:val="00AD31B1"/>
    <w:rsid w:val="00AD6EA6"/>
    <w:rsid w:val="00AD7466"/>
    <w:rsid w:val="00AD7FA5"/>
    <w:rsid w:val="00AE16C6"/>
    <w:rsid w:val="00AE2765"/>
    <w:rsid w:val="00AF00BE"/>
    <w:rsid w:val="00AF645C"/>
    <w:rsid w:val="00B029EF"/>
    <w:rsid w:val="00B03C16"/>
    <w:rsid w:val="00B05E04"/>
    <w:rsid w:val="00B06B7C"/>
    <w:rsid w:val="00B075C7"/>
    <w:rsid w:val="00B119CF"/>
    <w:rsid w:val="00B11A4C"/>
    <w:rsid w:val="00B147D8"/>
    <w:rsid w:val="00B20003"/>
    <w:rsid w:val="00B2069D"/>
    <w:rsid w:val="00B223EB"/>
    <w:rsid w:val="00B26651"/>
    <w:rsid w:val="00B32F26"/>
    <w:rsid w:val="00B3341F"/>
    <w:rsid w:val="00B35D2D"/>
    <w:rsid w:val="00B40EEC"/>
    <w:rsid w:val="00B4261B"/>
    <w:rsid w:val="00B45D92"/>
    <w:rsid w:val="00B47504"/>
    <w:rsid w:val="00B52CD0"/>
    <w:rsid w:val="00B5484F"/>
    <w:rsid w:val="00B55850"/>
    <w:rsid w:val="00B55C5E"/>
    <w:rsid w:val="00B57D10"/>
    <w:rsid w:val="00B618AB"/>
    <w:rsid w:val="00B62694"/>
    <w:rsid w:val="00B641E7"/>
    <w:rsid w:val="00B65A58"/>
    <w:rsid w:val="00B65F3E"/>
    <w:rsid w:val="00B6759A"/>
    <w:rsid w:val="00B77065"/>
    <w:rsid w:val="00B805C0"/>
    <w:rsid w:val="00B83B92"/>
    <w:rsid w:val="00B83DFA"/>
    <w:rsid w:val="00B841F8"/>
    <w:rsid w:val="00BA06D2"/>
    <w:rsid w:val="00BA191F"/>
    <w:rsid w:val="00BA31AF"/>
    <w:rsid w:val="00BB1BF3"/>
    <w:rsid w:val="00BB5D00"/>
    <w:rsid w:val="00BC4425"/>
    <w:rsid w:val="00BC77F8"/>
    <w:rsid w:val="00BC7B12"/>
    <w:rsid w:val="00BC7F8E"/>
    <w:rsid w:val="00BD097E"/>
    <w:rsid w:val="00BD2B24"/>
    <w:rsid w:val="00BD32FD"/>
    <w:rsid w:val="00BD6E56"/>
    <w:rsid w:val="00BD7601"/>
    <w:rsid w:val="00BD7BBA"/>
    <w:rsid w:val="00BE361A"/>
    <w:rsid w:val="00BE441C"/>
    <w:rsid w:val="00BE6B58"/>
    <w:rsid w:val="00BF0E2B"/>
    <w:rsid w:val="00BF359A"/>
    <w:rsid w:val="00C04DEA"/>
    <w:rsid w:val="00C16C5B"/>
    <w:rsid w:val="00C228CA"/>
    <w:rsid w:val="00C2607B"/>
    <w:rsid w:val="00C2617F"/>
    <w:rsid w:val="00C30890"/>
    <w:rsid w:val="00C3486D"/>
    <w:rsid w:val="00C36D40"/>
    <w:rsid w:val="00C47BED"/>
    <w:rsid w:val="00C51289"/>
    <w:rsid w:val="00C61967"/>
    <w:rsid w:val="00C62E69"/>
    <w:rsid w:val="00C65D58"/>
    <w:rsid w:val="00C66C2A"/>
    <w:rsid w:val="00C679B7"/>
    <w:rsid w:val="00C7524A"/>
    <w:rsid w:val="00C76FA6"/>
    <w:rsid w:val="00C86A1F"/>
    <w:rsid w:val="00C92973"/>
    <w:rsid w:val="00C92F1C"/>
    <w:rsid w:val="00C966E8"/>
    <w:rsid w:val="00CA6101"/>
    <w:rsid w:val="00CB2270"/>
    <w:rsid w:val="00CB2F56"/>
    <w:rsid w:val="00CB3D25"/>
    <w:rsid w:val="00CC0CC5"/>
    <w:rsid w:val="00CC2E48"/>
    <w:rsid w:val="00CC47DB"/>
    <w:rsid w:val="00CC71F1"/>
    <w:rsid w:val="00CD043E"/>
    <w:rsid w:val="00CD0738"/>
    <w:rsid w:val="00CD681C"/>
    <w:rsid w:val="00CE0F29"/>
    <w:rsid w:val="00CE187D"/>
    <w:rsid w:val="00CE3F23"/>
    <w:rsid w:val="00CE437A"/>
    <w:rsid w:val="00CE4CAF"/>
    <w:rsid w:val="00CE6D58"/>
    <w:rsid w:val="00CF0A38"/>
    <w:rsid w:val="00CF53D7"/>
    <w:rsid w:val="00CF5D51"/>
    <w:rsid w:val="00CF7511"/>
    <w:rsid w:val="00D02C09"/>
    <w:rsid w:val="00D049BB"/>
    <w:rsid w:val="00D067B6"/>
    <w:rsid w:val="00D164E0"/>
    <w:rsid w:val="00D20490"/>
    <w:rsid w:val="00D20C5C"/>
    <w:rsid w:val="00D25A2F"/>
    <w:rsid w:val="00D42D9A"/>
    <w:rsid w:val="00D4467A"/>
    <w:rsid w:val="00D4634A"/>
    <w:rsid w:val="00D47069"/>
    <w:rsid w:val="00D54BC1"/>
    <w:rsid w:val="00D56E76"/>
    <w:rsid w:val="00D6047E"/>
    <w:rsid w:val="00D71B30"/>
    <w:rsid w:val="00D75820"/>
    <w:rsid w:val="00D80F2A"/>
    <w:rsid w:val="00D81145"/>
    <w:rsid w:val="00D81BB2"/>
    <w:rsid w:val="00D81F19"/>
    <w:rsid w:val="00D84715"/>
    <w:rsid w:val="00D9082F"/>
    <w:rsid w:val="00D90D50"/>
    <w:rsid w:val="00D91368"/>
    <w:rsid w:val="00D9590A"/>
    <w:rsid w:val="00D95E52"/>
    <w:rsid w:val="00DA2381"/>
    <w:rsid w:val="00DA30B5"/>
    <w:rsid w:val="00DA3FCA"/>
    <w:rsid w:val="00DA754E"/>
    <w:rsid w:val="00DB5918"/>
    <w:rsid w:val="00DC1824"/>
    <w:rsid w:val="00DC4AAA"/>
    <w:rsid w:val="00DE0902"/>
    <w:rsid w:val="00DE37AD"/>
    <w:rsid w:val="00DE6C30"/>
    <w:rsid w:val="00DE7B56"/>
    <w:rsid w:val="00DF2DD4"/>
    <w:rsid w:val="00DF5FE6"/>
    <w:rsid w:val="00E02EFE"/>
    <w:rsid w:val="00E051BA"/>
    <w:rsid w:val="00E0659D"/>
    <w:rsid w:val="00E07018"/>
    <w:rsid w:val="00E23862"/>
    <w:rsid w:val="00E27CF9"/>
    <w:rsid w:val="00E31133"/>
    <w:rsid w:val="00E31E28"/>
    <w:rsid w:val="00E41BB7"/>
    <w:rsid w:val="00E543DA"/>
    <w:rsid w:val="00E55B56"/>
    <w:rsid w:val="00E63D89"/>
    <w:rsid w:val="00E64DE9"/>
    <w:rsid w:val="00E73B27"/>
    <w:rsid w:val="00E77CC1"/>
    <w:rsid w:val="00E80AFD"/>
    <w:rsid w:val="00E81A21"/>
    <w:rsid w:val="00E921EB"/>
    <w:rsid w:val="00E96B34"/>
    <w:rsid w:val="00EA028C"/>
    <w:rsid w:val="00EA6EB8"/>
    <w:rsid w:val="00EB0487"/>
    <w:rsid w:val="00EB20A4"/>
    <w:rsid w:val="00EB23A4"/>
    <w:rsid w:val="00EB43A2"/>
    <w:rsid w:val="00EC577B"/>
    <w:rsid w:val="00EC7306"/>
    <w:rsid w:val="00ED0DC8"/>
    <w:rsid w:val="00ED1915"/>
    <w:rsid w:val="00ED1955"/>
    <w:rsid w:val="00ED2D80"/>
    <w:rsid w:val="00EE3BE7"/>
    <w:rsid w:val="00EE5CBC"/>
    <w:rsid w:val="00EE712A"/>
    <w:rsid w:val="00F03EBC"/>
    <w:rsid w:val="00F07E20"/>
    <w:rsid w:val="00F1102B"/>
    <w:rsid w:val="00F13F84"/>
    <w:rsid w:val="00F14290"/>
    <w:rsid w:val="00F2014D"/>
    <w:rsid w:val="00F2270A"/>
    <w:rsid w:val="00F26F5B"/>
    <w:rsid w:val="00F32D9A"/>
    <w:rsid w:val="00F3387A"/>
    <w:rsid w:val="00F37413"/>
    <w:rsid w:val="00F37425"/>
    <w:rsid w:val="00F425C4"/>
    <w:rsid w:val="00F426D8"/>
    <w:rsid w:val="00F44878"/>
    <w:rsid w:val="00F5102C"/>
    <w:rsid w:val="00F538BD"/>
    <w:rsid w:val="00F62BBC"/>
    <w:rsid w:val="00F64176"/>
    <w:rsid w:val="00F72604"/>
    <w:rsid w:val="00F74DF6"/>
    <w:rsid w:val="00F76AA6"/>
    <w:rsid w:val="00F777B6"/>
    <w:rsid w:val="00F778FC"/>
    <w:rsid w:val="00F81288"/>
    <w:rsid w:val="00F82498"/>
    <w:rsid w:val="00F8546D"/>
    <w:rsid w:val="00F94620"/>
    <w:rsid w:val="00F95AEB"/>
    <w:rsid w:val="00FA2B9C"/>
    <w:rsid w:val="00FA6636"/>
    <w:rsid w:val="00FC0EFB"/>
    <w:rsid w:val="00FC1FF5"/>
    <w:rsid w:val="00FC746C"/>
    <w:rsid w:val="00FD1BB7"/>
    <w:rsid w:val="00FD3223"/>
    <w:rsid w:val="00FD50F1"/>
    <w:rsid w:val="00FD642A"/>
    <w:rsid w:val="00FE42DB"/>
    <w:rsid w:val="00FE53F2"/>
    <w:rsid w:val="00FE6B6D"/>
    <w:rsid w:val="00FF0547"/>
    <w:rsid w:val="00FF5577"/>
    <w:rsid w:val="00FF61D4"/>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57"/>
    <w:rPr>
      <w:bCs/>
      <w:sz w:val="24"/>
      <w:szCs w:val="24"/>
      <w:lang w:eastAsia="en-US"/>
    </w:rPr>
  </w:style>
  <w:style w:type="paragraph" w:styleId="Heading1">
    <w:name w:val="heading 1"/>
    <w:basedOn w:val="Normal"/>
    <w:next w:val="Normal"/>
    <w:qFormat/>
    <w:rsid w:val="00D47069"/>
    <w:pPr>
      <w:keepNext/>
      <w:spacing w:before="60"/>
      <w:jc w:val="both"/>
      <w:outlineLvl w:val="0"/>
    </w:pPr>
    <w:rPr>
      <w:b/>
      <w:bCs w:val="0"/>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basedOn w:val="DefaultParagraphFont"/>
    <w:rsid w:val="00881118"/>
    <w:rPr>
      <w:b/>
      <w:bCs/>
      <w:color w:val="009500"/>
    </w:rPr>
  </w:style>
  <w:style w:type="character" w:customStyle="1" w:styleId="alineat1">
    <w:name w:val="alineat1"/>
    <w:basedOn w:val="DefaultParagraphFont"/>
    <w:rsid w:val="00881118"/>
    <w:rPr>
      <w:b/>
      <w:bCs/>
      <w:color w:val="000000"/>
    </w:rPr>
  </w:style>
  <w:style w:type="character" w:customStyle="1" w:styleId="litera1">
    <w:name w:val="litera1"/>
    <w:basedOn w:val="DefaultParagraphFont"/>
    <w:rsid w:val="00881118"/>
    <w:rPr>
      <w:b/>
      <w:bCs/>
      <w:color w:val="000000"/>
    </w:rPr>
  </w:style>
  <w:style w:type="paragraph" w:styleId="ListParagraph">
    <w:name w:val="List Paragraph"/>
    <w:aliases w:val="Normal bullet 2,List Paragraph1"/>
    <w:basedOn w:val="Normal"/>
    <w:link w:val="ListParagraphChar"/>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basedOn w:val="DefaultParagraphFont"/>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basedOn w:val="DefaultParagraphFont"/>
    <w:link w:val="BodyText2"/>
    <w:rsid w:val="00FE53F2"/>
    <w:rPr>
      <w:bCs/>
      <w:sz w:val="24"/>
      <w:szCs w:val="24"/>
      <w:lang w:eastAsia="en-US"/>
    </w:rPr>
  </w:style>
  <w:style w:type="character" w:customStyle="1" w:styleId="TitleChar">
    <w:name w:val="Title Char"/>
    <w:basedOn w:val="DefaultParagraphFont"/>
    <w:link w:val="Title"/>
    <w:rsid w:val="001D65BC"/>
    <w:rPr>
      <w:b/>
      <w:sz w:val="24"/>
      <w:szCs w:val="24"/>
      <w:lang w:eastAsia="en-US"/>
    </w:rPr>
  </w:style>
  <w:style w:type="character" w:customStyle="1" w:styleId="ListParagraphChar">
    <w:name w:val="List Paragraph Char"/>
    <w:aliases w:val="Normal bullet 2 Char,List Paragraph1 Char"/>
    <w:link w:val="ListParagraph"/>
    <w:rsid w:val="0003271F"/>
    <w:rPr>
      <w:bCs/>
      <w:sz w:val="24"/>
      <w:szCs w:val="24"/>
      <w:lang w:eastAsia="en-US"/>
    </w:rPr>
  </w:style>
  <w:style w:type="character" w:customStyle="1" w:styleId="apple-converted-space">
    <w:name w:val="apple-converted-space"/>
    <w:basedOn w:val="DefaultParagraphFont"/>
    <w:rsid w:val="006F1B54"/>
  </w:style>
</w:styles>
</file>

<file path=word/webSettings.xml><?xml version="1.0" encoding="utf-8"?>
<w:webSettings xmlns:r="http://schemas.openxmlformats.org/officeDocument/2006/relationships" xmlns:w="http://schemas.openxmlformats.org/wordprocessingml/2006/main">
  <w:divs>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21199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6E357-09C0-4EDC-A689-B182DC91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6228</Words>
  <Characters>36126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42270</CharactersWithSpaces>
  <SharedDoc>false</SharedDoc>
  <HLinks>
    <vt:vector size="18" baseType="variant">
      <vt:variant>
        <vt:i4>7209007</vt:i4>
      </vt:variant>
      <vt:variant>
        <vt:i4>6</vt:i4>
      </vt:variant>
      <vt:variant>
        <vt:i4>0</vt:i4>
      </vt:variant>
      <vt:variant>
        <vt:i4>5</vt:i4>
      </vt:variant>
      <vt:variant>
        <vt:lpwstr>lnk:HOT GUV 750 2005 0</vt:lpwstr>
      </vt:variant>
      <vt:variant>
        <vt:lpwstr/>
      </vt:variant>
      <vt:variant>
        <vt:i4>6225946</vt:i4>
      </vt:variant>
      <vt:variant>
        <vt:i4>3</vt:i4>
      </vt:variant>
      <vt:variant>
        <vt:i4>0</vt:i4>
      </vt:variant>
      <vt:variant>
        <vt:i4>5</vt:i4>
      </vt:variant>
      <vt:variant>
        <vt:lpwstr>lnk:HOT GUV 2 2001 0</vt:lpwstr>
      </vt:variant>
      <vt:variant>
        <vt:lpwstr/>
      </vt:variant>
      <vt:variant>
        <vt:i4>6422588</vt:i4>
      </vt:variant>
      <vt:variant>
        <vt:i4>0</vt:i4>
      </vt:variant>
      <vt:variant>
        <vt:i4>0</vt:i4>
      </vt:variant>
      <vt:variant>
        <vt:i4>5</vt:i4>
      </vt:variant>
      <vt:variant>
        <vt:lpwstr>lnk:LEG PRL 115 1999 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Lupescu</dc:creator>
  <cp:lastModifiedBy>cristina.bebereche</cp:lastModifiedBy>
  <cp:revision>4</cp:revision>
  <cp:lastPrinted>2017-02-28T12:58:00Z</cp:lastPrinted>
  <dcterms:created xsi:type="dcterms:W3CDTF">2017-08-10T12:10:00Z</dcterms:created>
  <dcterms:modified xsi:type="dcterms:W3CDTF">2017-08-10T12:11:00Z</dcterms:modified>
</cp:coreProperties>
</file>