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5B704E69"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 xml:space="preserve">Nr. </w:t>
      </w:r>
      <w:r w:rsidR="00781D37" w:rsidRPr="00781D37">
        <w:rPr>
          <w:i/>
          <w:iCs/>
          <w:color w:val="000000" w:themeColor="text1"/>
        </w:rPr>
        <w:t>371</w:t>
      </w:r>
      <w:r w:rsidR="00781D37">
        <w:rPr>
          <w:i/>
          <w:iCs/>
          <w:color w:val="000000" w:themeColor="text1"/>
        </w:rPr>
        <w:t>8</w:t>
      </w:r>
      <w:r w:rsidR="00D34B71">
        <w:rPr>
          <w:i/>
          <w:iCs/>
          <w:color w:val="000000" w:themeColor="text1"/>
        </w:rPr>
        <w:t>/</w:t>
      </w:r>
      <w:r w:rsidR="00D53727">
        <w:rPr>
          <w:i/>
          <w:iCs/>
          <w:color w:val="000000" w:themeColor="text1"/>
        </w:rPr>
        <w:t>25</w:t>
      </w:r>
      <w:r w:rsidR="00D34B71">
        <w:rPr>
          <w:i/>
          <w:iCs/>
          <w:color w:val="000000" w:themeColor="text1"/>
        </w:rPr>
        <w:t>.06.2025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5799B43C" w14:textId="77777777" w:rsidR="00D52D25" w:rsidRDefault="00D52D25" w:rsidP="00A7277F">
      <w:pPr>
        <w:spacing w:line="360" w:lineRule="auto"/>
        <w:jc w:val="center"/>
        <w:rPr>
          <w:b/>
          <w:bCs/>
          <w:color w:val="000000" w:themeColor="text1"/>
          <w:sz w:val="16"/>
          <w:szCs w:val="16"/>
        </w:rPr>
      </w:pPr>
    </w:p>
    <w:p w14:paraId="6A9D9385" w14:textId="77777777" w:rsidR="00E17409" w:rsidRPr="0085214C" w:rsidRDefault="00E17409"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3D0F9236" w14:textId="77777777" w:rsidR="00E17409" w:rsidRDefault="0010304A" w:rsidP="00111579">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D44114" w:rsidRPr="00D44114">
        <w:rPr>
          <w:b/>
          <w:bCs/>
          <w:sz w:val="28"/>
          <w:szCs w:val="28"/>
        </w:rPr>
        <w:t>pentru modificarea</w:t>
      </w:r>
    </w:p>
    <w:p w14:paraId="61DF9CBE" w14:textId="3A03C0FE" w:rsidR="004B766D" w:rsidRDefault="00D44114" w:rsidP="00111579">
      <w:pPr>
        <w:spacing w:line="360" w:lineRule="auto"/>
        <w:jc w:val="center"/>
        <w:rPr>
          <w:b/>
          <w:bCs/>
          <w:sz w:val="28"/>
          <w:szCs w:val="28"/>
        </w:rPr>
      </w:pPr>
      <w:r w:rsidRPr="00D44114">
        <w:rPr>
          <w:b/>
          <w:bCs/>
          <w:sz w:val="28"/>
          <w:szCs w:val="28"/>
        </w:rPr>
        <w:t>Legii nr.143/2000, republicată, privind prevenirea și combaterea traficului și consumului ilicit de droguri (b200/2.06.2025)</w:t>
      </w:r>
    </w:p>
    <w:p w14:paraId="1FA90DB3" w14:textId="77777777" w:rsidR="00096F85" w:rsidRPr="00884E61" w:rsidRDefault="00096F85" w:rsidP="00096F85">
      <w:pPr>
        <w:spacing w:line="360" w:lineRule="auto"/>
        <w:jc w:val="center"/>
        <w:rPr>
          <w:b/>
          <w:bCs/>
          <w:iCs/>
          <w:color w:val="000000" w:themeColor="text1"/>
        </w:rPr>
      </w:pPr>
    </w:p>
    <w:p w14:paraId="13ACE3B1" w14:textId="0C4A1A5B"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D44114" w:rsidRPr="00D44114">
        <w:rPr>
          <w:i/>
          <w:iCs/>
        </w:rPr>
        <w:t>pentru modificarea Legii nr.143/2000, republicată, privind prevenirea și combaterea traficului și consumului ilicit de droguri (b200/2.06.2025)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769922D2" w:rsidR="008D5C87" w:rsidRDefault="003D1EDB" w:rsidP="00D53727">
      <w:pPr>
        <w:spacing w:line="360" w:lineRule="auto"/>
        <w:ind w:firstLine="720"/>
        <w:jc w:val="both"/>
        <w:rPr>
          <w:b/>
          <w:bCs/>
          <w:color w:val="000000" w:themeColor="text1"/>
        </w:rPr>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republicată, cu modificările și completările ulterioare, în ședința din data de</w:t>
      </w:r>
      <w:r w:rsidR="00F92C81" w:rsidRPr="00D44CA8">
        <w:rPr>
          <w:color w:val="000000" w:themeColor="text1"/>
        </w:rPr>
        <w:t xml:space="preserve"> </w:t>
      </w:r>
      <w:r w:rsidR="00D53727">
        <w:rPr>
          <w:color w:val="000000" w:themeColor="text1"/>
        </w:rPr>
        <w:t>25</w:t>
      </w:r>
      <w:r w:rsidRPr="00D44CA8">
        <w:rPr>
          <w:color w:val="000000" w:themeColor="text1"/>
        </w:rPr>
        <w:t>.</w:t>
      </w:r>
      <w:r w:rsidR="008C07A1" w:rsidRPr="00D44CA8">
        <w:rPr>
          <w:color w:val="000000" w:themeColor="text1"/>
        </w:rPr>
        <w:t>0</w:t>
      </w:r>
      <w:r w:rsidR="003B68BD">
        <w:rPr>
          <w:color w:val="000000" w:themeColor="text1"/>
        </w:rPr>
        <w:t>6</w:t>
      </w:r>
      <w:r w:rsidRPr="00D44CA8">
        <w:rPr>
          <w:color w:val="000000" w:themeColor="text1"/>
        </w:rPr>
        <w:t>.202</w:t>
      </w:r>
      <w:r w:rsidR="008C07A1" w:rsidRPr="00D44CA8">
        <w:rPr>
          <w:color w:val="000000" w:themeColor="text1"/>
        </w:rPr>
        <w:t>5</w:t>
      </w:r>
      <w:r w:rsidRPr="00D44CA8">
        <w:rPr>
          <w:color w:val="000000" w:themeColor="text1"/>
        </w:rPr>
        <w:t xml:space="preserve">, </w:t>
      </w:r>
      <w:r w:rsidRPr="00E17409">
        <w:rPr>
          <w:color w:val="000000" w:themeColor="text1"/>
        </w:rPr>
        <w:t xml:space="preserve">desfășurată online, conform prevederilor Hotărârii Plenului nr.86/17.05.2022, </w:t>
      </w:r>
      <w:bookmarkEnd w:id="5"/>
      <w:r w:rsidRPr="00E17409">
        <w:rPr>
          <w:color w:val="000000" w:themeColor="text1"/>
        </w:rPr>
        <w:t xml:space="preserve">avizează </w:t>
      </w:r>
      <w:r w:rsidR="009B57A0" w:rsidRPr="00E17409">
        <w:rPr>
          <w:b/>
          <w:bCs/>
        </w:rPr>
        <w:t>NEF</w:t>
      </w:r>
      <w:r w:rsidR="002E1D81" w:rsidRPr="00E17409">
        <w:rPr>
          <w:b/>
          <w:bCs/>
        </w:rPr>
        <w:t xml:space="preserve">AVORABIL </w:t>
      </w:r>
      <w:r w:rsidR="002E1D81" w:rsidRPr="00E17409">
        <w:t>prezentul proiect de act normativ</w:t>
      </w:r>
      <w:r w:rsidR="009B57A0" w:rsidRPr="00E17409">
        <w:rPr>
          <w:color w:val="000000" w:themeColor="text1"/>
        </w:rPr>
        <w:t xml:space="preserve">, cu următoarea </w:t>
      </w:r>
      <w:r w:rsidR="009B57A0" w:rsidRPr="00E17409">
        <w:rPr>
          <w:b/>
          <w:bCs/>
          <w:color w:val="000000" w:themeColor="text1"/>
        </w:rPr>
        <w:t>motivare:</w:t>
      </w:r>
    </w:p>
    <w:p w14:paraId="6160A30B" w14:textId="39B67399" w:rsidR="009B57A0" w:rsidRDefault="009B57A0" w:rsidP="009B57A0">
      <w:pPr>
        <w:pStyle w:val="ListParagraph"/>
        <w:numPr>
          <w:ilvl w:val="0"/>
          <w:numId w:val="36"/>
        </w:numPr>
        <w:spacing w:line="360" w:lineRule="auto"/>
        <w:jc w:val="both"/>
        <w:rPr>
          <w:color w:val="000000" w:themeColor="text1"/>
        </w:rPr>
      </w:pPr>
      <w:r w:rsidRPr="009B57A0">
        <w:rPr>
          <w:color w:val="000000" w:themeColor="text1"/>
        </w:rPr>
        <w:t>combaterea traficului de droguri este deja prevăzut prin dispozițiile Legii nr. 143/</w:t>
      </w:r>
      <w:r w:rsidRPr="00CD4C89">
        <w:rPr>
          <w:color w:val="000000" w:themeColor="text1"/>
        </w:rPr>
        <w:t>2000</w:t>
      </w:r>
      <w:r w:rsidR="00CD4C89" w:rsidRPr="00CD4C89">
        <w:t xml:space="preserve"> </w:t>
      </w:r>
      <w:r w:rsidR="00CD4C89" w:rsidRPr="00CD4C89">
        <w:t>privind prevenirea și combaterea traficului și consumului ilicit de droguri</w:t>
      </w:r>
      <w:r w:rsidR="00CD4C89" w:rsidRPr="00CD4C89">
        <w:rPr>
          <w:color w:val="000000" w:themeColor="text1"/>
        </w:rPr>
        <w:t>,</w:t>
      </w:r>
      <w:r w:rsidR="00CD4C89">
        <w:rPr>
          <w:color w:val="000000" w:themeColor="text1"/>
        </w:rPr>
        <w:t xml:space="preserve"> </w:t>
      </w:r>
      <w:r w:rsidR="00CD4C89" w:rsidRPr="00D44CA8">
        <w:rPr>
          <w:color w:val="000000" w:themeColor="text1"/>
        </w:rPr>
        <w:t xml:space="preserve">republicată, cu modificările și completările ulterioare, </w:t>
      </w:r>
      <w:r w:rsidRPr="009B57A0">
        <w:rPr>
          <w:color w:val="000000" w:themeColor="text1"/>
        </w:rPr>
        <w:t>și a Codului Penal. O abordare eficientă pentru a preveni traficul este organizare</w:t>
      </w:r>
      <w:r w:rsidR="00EB20DF">
        <w:rPr>
          <w:color w:val="000000" w:themeColor="text1"/>
        </w:rPr>
        <w:t>a</w:t>
      </w:r>
      <w:r w:rsidRPr="009B57A0">
        <w:rPr>
          <w:color w:val="000000" w:themeColor="text1"/>
        </w:rPr>
        <w:t xml:space="preserve"> de acțiuni concertate ale instituțiilor responsabile pentru arestarea rețelelor de trafic de droguri și prin </w:t>
      </w:r>
      <w:r w:rsidRPr="009B57A0">
        <w:rPr>
          <w:color w:val="000000" w:themeColor="text1"/>
        </w:rPr>
        <w:lastRenderedPageBreak/>
        <w:t>desfășurarea de campanii de prevenție și conștientizare a cetățenilor cu privire la riscurile care decurg din consumul și traficul de droguri</w:t>
      </w:r>
      <w:r>
        <w:rPr>
          <w:color w:val="000000" w:themeColor="text1"/>
        </w:rPr>
        <w:t>;</w:t>
      </w:r>
    </w:p>
    <w:p w14:paraId="08805213" w14:textId="77777777" w:rsidR="00D85FF8" w:rsidRDefault="00D85FF8" w:rsidP="00D85FF8">
      <w:pPr>
        <w:pStyle w:val="ListParagraph"/>
        <w:numPr>
          <w:ilvl w:val="0"/>
          <w:numId w:val="36"/>
        </w:numPr>
        <w:spacing w:line="360" w:lineRule="auto"/>
        <w:jc w:val="both"/>
      </w:pPr>
      <w:r>
        <w:t xml:space="preserve">propunerea legislativă menționează: </w:t>
      </w:r>
      <w:r w:rsidRPr="008E1151">
        <w:rPr>
          <w:i/>
          <w:iCs/>
        </w:rPr>
        <w:t>„Traficul ilicit de droguri, indiferent de clasificarea substanței ca fiind de risc sau de mare risc, săvârșit în scop comercial, inclusiv prin distribuție, vânzare sau intermediere, se sancționează conform prevederilor alin. (2).”</w:t>
      </w:r>
      <w:r>
        <w:t xml:space="preserve"> Această formulare produce efecte excesive și nediferențiate, cu următoarele consecințe negative:</w:t>
      </w:r>
    </w:p>
    <w:p w14:paraId="3DD96417" w14:textId="6CE30DE1" w:rsidR="00D85FF8" w:rsidRDefault="00D85FF8" w:rsidP="00D85FF8">
      <w:pPr>
        <w:pStyle w:val="ListParagraph"/>
        <w:spacing w:line="360" w:lineRule="auto"/>
        <w:jc w:val="both"/>
      </w:pPr>
      <w:r>
        <w:t xml:space="preserve">- lipsește complet diferențierea între formele de trafic, fiind contopite într-o înșiruire vagă </w:t>
      </w:r>
      <w:r w:rsidRPr="00D361CC">
        <w:t>(</w:t>
      </w:r>
      <w:r w:rsidRPr="00D361CC">
        <w:rPr>
          <w:i/>
          <w:iCs/>
        </w:rPr>
        <w:t>„distribuire, vânzare, intermediere”</w:t>
      </w:r>
      <w:r>
        <w:t>), fără a ține cont de context, cantitate, grad de pericol al substanței sau profilul persoanei. Astfel, se ajunge la situații absurde, în care</w:t>
      </w:r>
      <w:r w:rsidR="00D361CC">
        <w:t>, de e</w:t>
      </w:r>
      <w:r>
        <w:t>x.</w:t>
      </w:r>
      <w:r w:rsidR="00D361CC">
        <w:t>,</w:t>
      </w:r>
      <w:r>
        <w:t xml:space="preserve"> vânzarea unui singur gram de canabis (substanță de risc) va fi tratată ca trafic comercial și sancționată cu pedepsele pentru droguri de mare risc (10–20 ani)</w:t>
      </w:r>
      <w:r w:rsidR="00D361CC">
        <w:t>;</w:t>
      </w:r>
    </w:p>
    <w:p w14:paraId="57E1A13E" w14:textId="77777777" w:rsidR="00D85FF8" w:rsidRDefault="00D85FF8" w:rsidP="00D85FF8">
      <w:pPr>
        <w:pStyle w:val="ListParagraph"/>
        <w:spacing w:line="360" w:lineRule="auto"/>
        <w:jc w:val="both"/>
      </w:pPr>
      <w:r>
        <w:t>- se anulează orice posibilitate de individualizare justă a pedepsei, tratând la fel consumatorii marginali, dealerii de ocazie și traficanții din rețele organizate. Această abordare reduce capacitatea judecătorului de a adapta sancțiunea la circumstanțele reale ale faptei, ceea ce contrazice standardele de raționalitate penală și eficiență juridică;</w:t>
      </w:r>
    </w:p>
    <w:p w14:paraId="05F3AE07" w14:textId="715B4E0D" w:rsidR="00D85FF8" w:rsidRDefault="00D85FF8" w:rsidP="00D361CC">
      <w:pPr>
        <w:pStyle w:val="ListParagraph"/>
        <w:spacing w:line="360" w:lineRule="auto"/>
        <w:jc w:val="both"/>
      </w:pPr>
      <w:r>
        <w:t xml:space="preserve">- se ignoră recomandările formulate de </w:t>
      </w:r>
      <w:r w:rsidRPr="00BF6D10">
        <w:t xml:space="preserve">Consiliul Superior al Magistraturii </w:t>
      </w:r>
      <w:r w:rsidR="00D361CC">
        <w:t xml:space="preserve">în punctul de vedere exprimat cu privire la </w:t>
      </w:r>
      <w:r w:rsidRPr="00D361CC">
        <w:rPr>
          <w:i/>
          <w:iCs/>
        </w:rPr>
        <w:t>Propunerea legislativă pentru modificarea Legii nr.143/2000 privind prevenirea şi combaterea traficului şi consumului ilicit de droguri</w:t>
      </w:r>
      <w:r w:rsidR="00D361CC" w:rsidRPr="00D361CC">
        <w:rPr>
          <w:i/>
          <w:iCs/>
        </w:rPr>
        <w:t xml:space="preserve"> (</w:t>
      </w:r>
      <w:proofErr w:type="spellStart"/>
      <w:r w:rsidR="00D361CC" w:rsidRPr="00D361CC">
        <w:rPr>
          <w:i/>
          <w:iCs/>
        </w:rPr>
        <w:t>Pl</w:t>
      </w:r>
      <w:proofErr w:type="spellEnd"/>
      <w:r w:rsidR="00D361CC" w:rsidRPr="00D361CC">
        <w:rPr>
          <w:i/>
          <w:iCs/>
        </w:rPr>
        <w:t>-x 430/2022</w:t>
      </w:r>
      <w:r w:rsidRPr="00D361CC">
        <w:rPr>
          <w:i/>
          <w:iCs/>
        </w:rPr>
        <w:t xml:space="preserve">), </w:t>
      </w:r>
      <w:r>
        <w:t xml:space="preserve">conform cărora </w:t>
      </w:r>
      <w:r w:rsidRPr="00D361CC">
        <w:rPr>
          <w:i/>
          <w:iCs/>
        </w:rPr>
        <w:t>„</w:t>
      </w:r>
      <w:r w:rsidR="00D361CC">
        <w:rPr>
          <w:i/>
          <w:iCs/>
        </w:rPr>
        <w:t>p</w:t>
      </w:r>
      <w:r w:rsidRPr="00D361CC">
        <w:rPr>
          <w:i/>
          <w:iCs/>
        </w:rPr>
        <w:t>ractica ultimului deceniu a demonstrat că nu mărirea exagerată a limitelor de pedeapsă este soluția eficientă pentru combaterea criminalității.”;</w:t>
      </w:r>
    </w:p>
    <w:p w14:paraId="70680899" w14:textId="77777777" w:rsidR="00D85FF8" w:rsidRDefault="00D85FF8" w:rsidP="00D85FF8">
      <w:pPr>
        <w:pStyle w:val="ListParagraph"/>
        <w:spacing w:line="360" w:lineRule="auto"/>
        <w:jc w:val="both"/>
      </w:pPr>
      <w:r>
        <w:t>- în loc să clarifice diferența dintre posesia pentru consum și traficul organizat, propunerea legislativă creează confuzie terminologică și un cadru normativ rigid, în contradicție cu abordările moderne din alte state europene, care stabilesc praguri cantitative clare sisteme progresive de sancțiuni în funcție de gravitatea faptei și riscul substanței;</w:t>
      </w:r>
    </w:p>
    <w:p w14:paraId="621ECF6A" w14:textId="6DA24AC4" w:rsidR="00D85FF8" w:rsidRDefault="00D85FF8" w:rsidP="00D85FF8">
      <w:pPr>
        <w:pStyle w:val="ListParagraph"/>
        <w:spacing w:line="360" w:lineRule="auto"/>
        <w:jc w:val="both"/>
      </w:pPr>
      <w:r>
        <w:t xml:space="preserve">- recomandările internaționale în materie de politici antidrog (ex. </w:t>
      </w:r>
      <w:r w:rsidRPr="00596CDD">
        <w:rPr>
          <w:lang w:val="ro-RO"/>
        </w:rPr>
        <w:t>Strategia UE în materie de droguri 2021-2025</w:t>
      </w:r>
      <w:r>
        <w:t>) pun accent pe: diferențierea clară între tipurile de infracțiuni legate de droguri;   stabilirea unor criterii obiective, inclusiv cantitative și contextuale,  sancțiuni proporționale, cu accent pe prevenție, reintegrare și protecția tinerilor;</w:t>
      </w:r>
    </w:p>
    <w:p w14:paraId="42442F37" w14:textId="6F0E5C61" w:rsidR="009B57A0" w:rsidRPr="009B57A0" w:rsidRDefault="009B57A0" w:rsidP="009B57A0">
      <w:pPr>
        <w:pStyle w:val="ListParagraph"/>
        <w:numPr>
          <w:ilvl w:val="0"/>
          <w:numId w:val="36"/>
        </w:numPr>
        <w:spacing w:line="360" w:lineRule="auto"/>
        <w:jc w:val="both"/>
        <w:rPr>
          <w:color w:val="000000" w:themeColor="text1"/>
        </w:rPr>
      </w:pPr>
      <w:r w:rsidRPr="009B57A0">
        <w:rPr>
          <w:color w:val="000000" w:themeColor="text1"/>
        </w:rPr>
        <w:t>propunerea legislativă reprezintă o situație de paralelism legislativ, care intenționează să incrimineze o faptă deja incriminată în cadrul aceluiași act normativ;</w:t>
      </w:r>
    </w:p>
    <w:p w14:paraId="4CD42DD1" w14:textId="3FA1F1DB" w:rsidR="009B57A0" w:rsidRPr="009B57A0" w:rsidRDefault="009B57A0" w:rsidP="009B57A0">
      <w:pPr>
        <w:pStyle w:val="ListParagraph"/>
        <w:numPr>
          <w:ilvl w:val="0"/>
          <w:numId w:val="36"/>
        </w:numPr>
        <w:spacing w:line="360" w:lineRule="auto"/>
        <w:jc w:val="both"/>
        <w:rPr>
          <w:color w:val="000000" w:themeColor="text1"/>
        </w:rPr>
      </w:pPr>
      <w:r w:rsidRPr="009B57A0">
        <w:rPr>
          <w:color w:val="000000" w:themeColor="text1"/>
        </w:rPr>
        <w:lastRenderedPageBreak/>
        <w:t xml:space="preserve">definiția infracțiunii de trafic de droguri (care, prin natura lui, nu poate fi decât ilicit – a se vedea sensul de dicționar, </w:t>
      </w:r>
      <w:r w:rsidRPr="00127730">
        <w:rPr>
          <w:i/>
          <w:iCs/>
          <w:color w:val="000000" w:themeColor="text1"/>
        </w:rPr>
        <w:t>„comerț ilicit”,</w:t>
      </w:r>
      <w:r w:rsidRPr="009B57A0">
        <w:rPr>
          <w:color w:val="000000" w:themeColor="text1"/>
        </w:rPr>
        <w:t xml:space="preserve"> asociat utilizării termenului în context penal), cuprinde, așa cum se </w:t>
      </w:r>
      <w:r w:rsidR="00127730">
        <w:rPr>
          <w:color w:val="000000" w:themeColor="text1"/>
        </w:rPr>
        <w:t>observă</w:t>
      </w:r>
      <w:r w:rsidRPr="009B57A0">
        <w:rPr>
          <w:color w:val="000000" w:themeColor="text1"/>
        </w:rPr>
        <w:t xml:space="preserve"> din formularea art. 359 alin. (1) din Codul Penal privind traficul de produse sau substanțe toxice, o serie posibilă de operațiuni distincte – modalități prin care se poate comite infracțiunea: </w:t>
      </w:r>
      <w:r w:rsidRPr="00127730">
        <w:rPr>
          <w:i/>
          <w:iCs/>
          <w:color w:val="000000" w:themeColor="text1"/>
        </w:rPr>
        <w:t>„Producerea, deținerea, precum și orice operațiune privind circulația produselor ori substanțelor toxice, cultivarea în scop de prelucrare a plantelor care conțin astfel de substanțe ori experimentarea produselor sau substanțelor toxice”;</w:t>
      </w:r>
    </w:p>
    <w:p w14:paraId="02EE86CB" w14:textId="7B5B3950" w:rsidR="009B57A0" w:rsidRPr="009B57A0" w:rsidRDefault="009B57A0" w:rsidP="009B57A0">
      <w:pPr>
        <w:pStyle w:val="ListParagraph"/>
        <w:numPr>
          <w:ilvl w:val="0"/>
          <w:numId w:val="36"/>
        </w:numPr>
        <w:spacing w:line="360" w:lineRule="auto"/>
        <w:jc w:val="both"/>
        <w:rPr>
          <w:color w:val="000000" w:themeColor="text1"/>
        </w:rPr>
      </w:pPr>
      <w:r w:rsidRPr="009B57A0">
        <w:rPr>
          <w:color w:val="000000" w:themeColor="text1"/>
        </w:rPr>
        <w:t>aceleași operațiuni, modalități (variante de comitere) ale infracțiunii de trafic de substanțe toxice, conform Codului Penal, sunt incriminate la alin. (1) al art. 2 din Legea nr. 143/2000 privind prevenirea și combaterea traficului și consumului ilicit de droguri</w:t>
      </w:r>
      <w:r w:rsidR="001748D8">
        <w:rPr>
          <w:color w:val="000000" w:themeColor="text1"/>
        </w:rPr>
        <w:t xml:space="preserve">, </w:t>
      </w:r>
      <w:r w:rsidR="001748D8" w:rsidRPr="00D44CA8">
        <w:rPr>
          <w:color w:val="000000" w:themeColor="text1"/>
        </w:rPr>
        <w:t>cu modificările și completările ulterioare</w:t>
      </w:r>
      <w:r w:rsidRPr="009B57A0">
        <w:rPr>
          <w:color w:val="000000" w:themeColor="text1"/>
        </w:rPr>
        <w:t xml:space="preserve"> (care reprezintă o categorie specifică de substanțe toxice): </w:t>
      </w:r>
      <w:r w:rsidRPr="00F4714C">
        <w:rPr>
          <w:i/>
          <w:iCs/>
          <w:color w:val="000000" w:themeColor="text1"/>
        </w:rPr>
        <w:t>„Cultivarea, producerea, fabricarea, experimentarea, extragerea, prepararea, transformarea, oferirea, punerea în vânzare, vânzarea, distribuirea, livrarea cu orice titlu, trimiterea, transportul, procurarea, cumpărarea, deținerea ori alte operațiuni privind circulația drogurilor de risc, fără drept”;</w:t>
      </w:r>
    </w:p>
    <w:p w14:paraId="13B5C163" w14:textId="332B548B" w:rsidR="009B57A0" w:rsidRPr="009B57A0" w:rsidRDefault="009B57A0" w:rsidP="009B57A0">
      <w:pPr>
        <w:pStyle w:val="ListParagraph"/>
        <w:numPr>
          <w:ilvl w:val="0"/>
          <w:numId w:val="36"/>
        </w:numPr>
        <w:spacing w:line="360" w:lineRule="auto"/>
        <w:jc w:val="both"/>
        <w:rPr>
          <w:color w:val="000000" w:themeColor="text1"/>
        </w:rPr>
      </w:pPr>
      <w:r w:rsidRPr="009B57A0">
        <w:rPr>
          <w:color w:val="000000" w:themeColor="text1"/>
        </w:rPr>
        <w:t xml:space="preserve">având în vedere că inițiatorii nu propun o definiție a traficului de droguri care să reprezinte altceva (alte modalități de săvârșire a infracțiunii) decât cultivarea, producerea, fabricarea, oferirea, punerea în vânzare, vânzarea, distribuirea, livrarea etc. (operațiuni asociabile termenului de „trafic” inclusiv în definiția lui largă de dicționar – </w:t>
      </w:r>
      <w:r w:rsidRPr="00F4714C">
        <w:rPr>
          <w:i/>
          <w:iCs/>
          <w:color w:val="000000" w:themeColor="text1"/>
        </w:rPr>
        <w:t>„activitate economică având drept scop schimbul de mărfuri și de alte valori”),</w:t>
      </w:r>
      <w:r w:rsidRPr="009B57A0">
        <w:rPr>
          <w:color w:val="000000" w:themeColor="text1"/>
        </w:rPr>
        <w:t xml:space="preserve"> rezultă că modificarea propusă dublează incriminarea deja existentă, la nivelul aceluiași act normativ, creând, în același timp, incertitudine juridică prin faptul că, în forma propusă, traficul de droguri de risc capătă două încadrări în limite de pedeapsă diferite (cea deja existentă în lege la art. 2 alin. (1)</w:t>
      </w:r>
      <w:r w:rsidR="00583B86">
        <w:rPr>
          <w:color w:val="000000" w:themeColor="text1"/>
        </w:rPr>
        <w:t xml:space="preserve"> </w:t>
      </w:r>
      <w:r w:rsidRPr="009B57A0">
        <w:rPr>
          <w:color w:val="000000" w:themeColor="text1"/>
        </w:rPr>
        <w:t>și cea din norma de completare)</w:t>
      </w:r>
      <w:r w:rsidR="00EB20DF">
        <w:rPr>
          <w:color w:val="000000" w:themeColor="text1"/>
        </w:rPr>
        <w:t>;</w:t>
      </w:r>
    </w:p>
    <w:p w14:paraId="5F1B5489" w14:textId="4E4E370B" w:rsidR="008E1151" w:rsidRDefault="008E1151" w:rsidP="008E1151">
      <w:pPr>
        <w:pStyle w:val="ListParagraph"/>
        <w:numPr>
          <w:ilvl w:val="0"/>
          <w:numId w:val="36"/>
        </w:numPr>
        <w:spacing w:line="360" w:lineRule="auto"/>
        <w:jc w:val="both"/>
      </w:pPr>
      <w:r>
        <w:t>deși intenția declarată a propunerii legislative este de a uniformiza aplicarea sancțiunilor pentru traficul de droguri și de a combate rețelele infracționale, forma actuală a propunerii legislative ridică probleme majore de proporționalitate, logică juridică și eficiență a politicii penale</w:t>
      </w:r>
      <w:r w:rsidR="00EB20DF">
        <w:t>;</w:t>
      </w:r>
      <w:r>
        <w:t xml:space="preserve"> </w:t>
      </w:r>
    </w:p>
    <w:p w14:paraId="59163863" w14:textId="7375821C" w:rsidR="008E1151" w:rsidRDefault="008E1151" w:rsidP="008E1151">
      <w:pPr>
        <w:pStyle w:val="ListParagraph"/>
        <w:numPr>
          <w:ilvl w:val="0"/>
          <w:numId w:val="36"/>
        </w:numPr>
        <w:spacing w:line="360" w:lineRule="auto"/>
        <w:jc w:val="both"/>
      </w:pPr>
      <w:r>
        <w:t>propunerea legislativă accentuează politica punitivă fără a produce efecte reale în combaterea rețelelor de trafic și poate duce la suprapopularea sistemului penitenciar cu cazuri minore, în detrimentul combaterii traficului organizat</w:t>
      </w:r>
      <w:r w:rsidR="00E70F5A">
        <w:t>;</w:t>
      </w:r>
    </w:p>
    <w:p w14:paraId="2FBC61EB" w14:textId="43DBF253" w:rsidR="003B5B7F" w:rsidRDefault="003B5B7F" w:rsidP="003B5B7F">
      <w:pPr>
        <w:pStyle w:val="ListParagraph"/>
        <w:numPr>
          <w:ilvl w:val="0"/>
          <w:numId w:val="36"/>
        </w:numPr>
        <w:spacing w:line="360" w:lineRule="auto"/>
        <w:jc w:val="both"/>
        <w:rPr>
          <w:color w:val="000000" w:themeColor="text1"/>
        </w:rPr>
      </w:pPr>
      <w:r w:rsidRPr="009B57A0">
        <w:rPr>
          <w:color w:val="000000" w:themeColor="text1"/>
        </w:rPr>
        <w:t>se constată o neconcordanț</w:t>
      </w:r>
      <w:r>
        <w:rPr>
          <w:color w:val="000000" w:themeColor="text1"/>
        </w:rPr>
        <w:t>ă</w:t>
      </w:r>
      <w:r w:rsidRPr="009B57A0">
        <w:rPr>
          <w:color w:val="000000" w:themeColor="text1"/>
        </w:rPr>
        <w:t xml:space="preserve"> </w:t>
      </w:r>
      <w:r w:rsidR="00FC730C">
        <w:rPr>
          <w:color w:val="000000" w:themeColor="text1"/>
        </w:rPr>
        <w:t xml:space="preserve">între expunerea </w:t>
      </w:r>
      <w:r w:rsidR="00FC730C" w:rsidRPr="001B0880">
        <w:t xml:space="preserve">de motive, </w:t>
      </w:r>
      <w:r w:rsidRPr="001B0880">
        <w:t xml:space="preserve"> care menționează că </w:t>
      </w:r>
      <w:r w:rsidRPr="001B0880">
        <w:rPr>
          <w:i/>
          <w:iCs/>
        </w:rPr>
        <w:t>„trebuie sancționat la nivelul maxim prevăzut de lege”</w:t>
      </w:r>
      <w:r w:rsidR="00FC730C" w:rsidRPr="001B0880">
        <w:t xml:space="preserve">, și </w:t>
      </w:r>
      <w:r w:rsidRPr="001B0880">
        <w:t xml:space="preserve">textul </w:t>
      </w:r>
      <w:r w:rsidR="00FC730C" w:rsidRPr="001B0880">
        <w:t>proiectului,</w:t>
      </w:r>
      <w:r w:rsidRPr="001B0880">
        <w:t xml:space="preserve"> unde se face </w:t>
      </w:r>
      <w:r w:rsidRPr="001B0880">
        <w:lastRenderedPageBreak/>
        <w:t>referire la alin.(2)</w:t>
      </w:r>
      <w:r w:rsidR="00FC730C" w:rsidRPr="001B0880">
        <w:t>,</w:t>
      </w:r>
      <w:r w:rsidRPr="001B0880">
        <w:t xml:space="preserve"> care prevede un interval de pedeaps</w:t>
      </w:r>
      <w:r w:rsidR="00FC730C" w:rsidRPr="001B0880">
        <w:t>ă</w:t>
      </w:r>
      <w:r w:rsidRPr="001B0880">
        <w:t xml:space="preserve"> (5-15 ani)</w:t>
      </w:r>
      <w:r w:rsidR="00FC730C" w:rsidRPr="001B0880">
        <w:t>,</w:t>
      </w:r>
      <w:r w:rsidRPr="001B0880">
        <w:t xml:space="preserve"> la fel ca alin.(1) (3-10 ani). Sancționarea la nivelul maxim prevăzut de lege s-ar traduce prin 10 ani în cazul drogurilor de risc și 15 ani în cazul celor de mare risc. În </w:t>
      </w:r>
      <w:r w:rsidR="00FC730C" w:rsidRPr="001B0880">
        <w:t>plus,</w:t>
      </w:r>
      <w:r w:rsidRPr="001B0880">
        <w:t xml:space="preserve"> intervalele prevăzute la ambele alin</w:t>
      </w:r>
      <w:r w:rsidR="001B0880" w:rsidRPr="001B0880">
        <w:t>e</w:t>
      </w:r>
      <w:r w:rsidRPr="001B0880">
        <w:t>ate se aplică de către judecători tocmai în funcție de gravitatea faptei</w:t>
      </w:r>
      <w:r w:rsidR="001B0880" w:rsidRPr="001B0880">
        <w:t xml:space="preserve">, astfel că </w:t>
      </w:r>
      <w:r w:rsidRPr="001B0880">
        <w:t>adăugarea alin.(3) nu se justifică</w:t>
      </w:r>
      <w:r w:rsidR="001B0880" w:rsidRPr="001B0880">
        <w:t>.</w:t>
      </w:r>
    </w:p>
    <w:p w14:paraId="074DFF71" w14:textId="389CD6AE" w:rsidR="005C0180" w:rsidRPr="0008498C" w:rsidRDefault="005C0180" w:rsidP="005C0180">
      <w:pPr>
        <w:pStyle w:val="ListParagraph"/>
        <w:spacing w:line="360" w:lineRule="auto"/>
        <w:jc w:val="both"/>
        <w:rPr>
          <w:b/>
          <w:bCs/>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0C6123">
      <w:headerReference w:type="default" r:id="rId8"/>
      <w:footerReference w:type="even" r:id="rId9"/>
      <w:footerReference w:type="default" r:id="rId10"/>
      <w:pgSz w:w="11906" w:h="16838" w:code="9"/>
      <w:pgMar w:top="284" w:right="1416" w:bottom="1276"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C22506"/>
    <w:multiLevelType w:val="hybridMultilevel"/>
    <w:tmpl w:val="8BACC3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9"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1"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4"/>
  </w:num>
  <w:num w:numId="2" w16cid:durableId="116291853">
    <w:abstractNumId w:val="21"/>
  </w:num>
  <w:num w:numId="3" w16cid:durableId="631641274">
    <w:abstractNumId w:val="20"/>
  </w:num>
  <w:num w:numId="4" w16cid:durableId="1004624554">
    <w:abstractNumId w:val="35"/>
  </w:num>
  <w:num w:numId="5" w16cid:durableId="200752980">
    <w:abstractNumId w:val="18"/>
  </w:num>
  <w:num w:numId="6" w16cid:durableId="1396516197">
    <w:abstractNumId w:val="25"/>
  </w:num>
  <w:num w:numId="7" w16cid:durableId="1307974791">
    <w:abstractNumId w:val="11"/>
  </w:num>
  <w:num w:numId="8" w16cid:durableId="1067528713">
    <w:abstractNumId w:val="9"/>
  </w:num>
  <w:num w:numId="9" w16cid:durableId="1554123230">
    <w:abstractNumId w:val="13"/>
  </w:num>
  <w:num w:numId="10" w16cid:durableId="1847597686">
    <w:abstractNumId w:val="8"/>
  </w:num>
  <w:num w:numId="11" w16cid:durableId="1913277433">
    <w:abstractNumId w:val="22"/>
  </w:num>
  <w:num w:numId="12" w16cid:durableId="1974629879">
    <w:abstractNumId w:val="26"/>
  </w:num>
  <w:num w:numId="13" w16cid:durableId="893544157">
    <w:abstractNumId w:val="34"/>
  </w:num>
  <w:num w:numId="14" w16cid:durableId="1770813672">
    <w:abstractNumId w:val="10"/>
  </w:num>
  <w:num w:numId="15" w16cid:durableId="1143618370">
    <w:abstractNumId w:val="3"/>
  </w:num>
  <w:num w:numId="16" w16cid:durableId="556286204">
    <w:abstractNumId w:val="23"/>
  </w:num>
  <w:num w:numId="17" w16cid:durableId="1559583960">
    <w:abstractNumId w:val="5"/>
  </w:num>
  <w:num w:numId="18" w16cid:durableId="454064441">
    <w:abstractNumId w:val="29"/>
  </w:num>
  <w:num w:numId="19" w16cid:durableId="523716982">
    <w:abstractNumId w:val="33"/>
  </w:num>
  <w:num w:numId="20" w16cid:durableId="296379584">
    <w:abstractNumId w:val="28"/>
  </w:num>
  <w:num w:numId="21" w16cid:durableId="1811365492">
    <w:abstractNumId w:val="31"/>
  </w:num>
  <w:num w:numId="22" w16cid:durableId="722556690">
    <w:abstractNumId w:val="16"/>
  </w:num>
  <w:num w:numId="23" w16cid:durableId="1012415862">
    <w:abstractNumId w:val="2"/>
  </w:num>
  <w:num w:numId="24" w16cid:durableId="393629163">
    <w:abstractNumId w:val="30"/>
  </w:num>
  <w:num w:numId="25" w16cid:durableId="469320825">
    <w:abstractNumId w:val="7"/>
  </w:num>
  <w:num w:numId="26" w16cid:durableId="527449122">
    <w:abstractNumId w:val="12"/>
  </w:num>
  <w:num w:numId="27" w16cid:durableId="1565096728">
    <w:abstractNumId w:val="4"/>
  </w:num>
  <w:num w:numId="28" w16cid:durableId="1422338715">
    <w:abstractNumId w:val="15"/>
  </w:num>
  <w:num w:numId="29" w16cid:durableId="1152059334">
    <w:abstractNumId w:val="32"/>
  </w:num>
  <w:num w:numId="30" w16cid:durableId="1284262494">
    <w:abstractNumId w:val="19"/>
  </w:num>
  <w:num w:numId="31" w16cid:durableId="728454690">
    <w:abstractNumId w:val="14"/>
  </w:num>
  <w:num w:numId="32" w16cid:durableId="1960917532">
    <w:abstractNumId w:val="0"/>
  </w:num>
  <w:num w:numId="33" w16cid:durableId="1891960643">
    <w:abstractNumId w:val="17"/>
  </w:num>
  <w:num w:numId="34" w16cid:durableId="1618490068">
    <w:abstractNumId w:val="6"/>
  </w:num>
  <w:num w:numId="35" w16cid:durableId="1186212461">
    <w:abstractNumId w:val="27"/>
  </w:num>
  <w:num w:numId="36" w16cid:durableId="873807996">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1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A2B"/>
    <w:rsid w:val="00117B92"/>
    <w:rsid w:val="001230D0"/>
    <w:rsid w:val="001234FB"/>
    <w:rsid w:val="00127730"/>
    <w:rsid w:val="00133545"/>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8D8"/>
    <w:rsid w:val="001749F7"/>
    <w:rsid w:val="00174AFF"/>
    <w:rsid w:val="001755EC"/>
    <w:rsid w:val="00175E1C"/>
    <w:rsid w:val="00180D0E"/>
    <w:rsid w:val="00183629"/>
    <w:rsid w:val="00184E70"/>
    <w:rsid w:val="00185003"/>
    <w:rsid w:val="0019008B"/>
    <w:rsid w:val="001908C2"/>
    <w:rsid w:val="00191006"/>
    <w:rsid w:val="001912C2"/>
    <w:rsid w:val="00191629"/>
    <w:rsid w:val="00191C33"/>
    <w:rsid w:val="00193491"/>
    <w:rsid w:val="0019387A"/>
    <w:rsid w:val="001A122F"/>
    <w:rsid w:val="001A2D9F"/>
    <w:rsid w:val="001A4D7B"/>
    <w:rsid w:val="001B0880"/>
    <w:rsid w:val="001B0B56"/>
    <w:rsid w:val="001B1404"/>
    <w:rsid w:val="001C08F1"/>
    <w:rsid w:val="001C694D"/>
    <w:rsid w:val="001D105F"/>
    <w:rsid w:val="001D2ADE"/>
    <w:rsid w:val="001D4D8F"/>
    <w:rsid w:val="001D6F4B"/>
    <w:rsid w:val="001D7113"/>
    <w:rsid w:val="001E0925"/>
    <w:rsid w:val="001E0F7F"/>
    <w:rsid w:val="001E7D01"/>
    <w:rsid w:val="001F08F5"/>
    <w:rsid w:val="001F1193"/>
    <w:rsid w:val="001F256D"/>
    <w:rsid w:val="001F37A7"/>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428"/>
    <w:rsid w:val="00293F0F"/>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E6E6B"/>
    <w:rsid w:val="002F120C"/>
    <w:rsid w:val="002F4A83"/>
    <w:rsid w:val="002F5E01"/>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52BF"/>
    <w:rsid w:val="00342EE9"/>
    <w:rsid w:val="0034419B"/>
    <w:rsid w:val="00350E58"/>
    <w:rsid w:val="00354427"/>
    <w:rsid w:val="00354AA3"/>
    <w:rsid w:val="003566F5"/>
    <w:rsid w:val="00357B33"/>
    <w:rsid w:val="00361CCD"/>
    <w:rsid w:val="003628C1"/>
    <w:rsid w:val="0037101A"/>
    <w:rsid w:val="00371087"/>
    <w:rsid w:val="00371986"/>
    <w:rsid w:val="003721BC"/>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5B7F"/>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7C"/>
    <w:rsid w:val="003F33D0"/>
    <w:rsid w:val="003F3635"/>
    <w:rsid w:val="003F48AB"/>
    <w:rsid w:val="003F5DDE"/>
    <w:rsid w:val="003F6D1C"/>
    <w:rsid w:val="00401F92"/>
    <w:rsid w:val="0040304E"/>
    <w:rsid w:val="00403586"/>
    <w:rsid w:val="00403E05"/>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6BD3"/>
    <w:rsid w:val="004F7347"/>
    <w:rsid w:val="00503E4C"/>
    <w:rsid w:val="00505A93"/>
    <w:rsid w:val="00506BD7"/>
    <w:rsid w:val="00510B3D"/>
    <w:rsid w:val="0051287F"/>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6B16"/>
    <w:rsid w:val="005572E0"/>
    <w:rsid w:val="0055791E"/>
    <w:rsid w:val="00560CFE"/>
    <w:rsid w:val="0056246F"/>
    <w:rsid w:val="005660F6"/>
    <w:rsid w:val="00566CA2"/>
    <w:rsid w:val="00566E74"/>
    <w:rsid w:val="00570B2D"/>
    <w:rsid w:val="00580237"/>
    <w:rsid w:val="00580331"/>
    <w:rsid w:val="005807F7"/>
    <w:rsid w:val="005816E8"/>
    <w:rsid w:val="0058263B"/>
    <w:rsid w:val="00583B86"/>
    <w:rsid w:val="00584F4F"/>
    <w:rsid w:val="0058757E"/>
    <w:rsid w:val="005911C8"/>
    <w:rsid w:val="005917CC"/>
    <w:rsid w:val="00592C17"/>
    <w:rsid w:val="005931F3"/>
    <w:rsid w:val="005948BA"/>
    <w:rsid w:val="00594A1D"/>
    <w:rsid w:val="00595965"/>
    <w:rsid w:val="00595E8C"/>
    <w:rsid w:val="005964C4"/>
    <w:rsid w:val="00596CDD"/>
    <w:rsid w:val="00597224"/>
    <w:rsid w:val="00597623"/>
    <w:rsid w:val="005A2957"/>
    <w:rsid w:val="005A416A"/>
    <w:rsid w:val="005A71D0"/>
    <w:rsid w:val="005A7E99"/>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32E3"/>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1B1C"/>
    <w:rsid w:val="00672026"/>
    <w:rsid w:val="006726CA"/>
    <w:rsid w:val="00672DCD"/>
    <w:rsid w:val="00674B13"/>
    <w:rsid w:val="006763E5"/>
    <w:rsid w:val="00684B80"/>
    <w:rsid w:val="00684BE8"/>
    <w:rsid w:val="00684EF2"/>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1D37"/>
    <w:rsid w:val="00783415"/>
    <w:rsid w:val="00784300"/>
    <w:rsid w:val="00790532"/>
    <w:rsid w:val="007913CA"/>
    <w:rsid w:val="00791D14"/>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51000"/>
    <w:rsid w:val="0085136D"/>
    <w:rsid w:val="00851A78"/>
    <w:rsid w:val="0085211C"/>
    <w:rsid w:val="0085214C"/>
    <w:rsid w:val="0085283A"/>
    <w:rsid w:val="00856076"/>
    <w:rsid w:val="00860019"/>
    <w:rsid w:val="0086324C"/>
    <w:rsid w:val="00865C07"/>
    <w:rsid w:val="00866D3D"/>
    <w:rsid w:val="00867055"/>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5C87"/>
    <w:rsid w:val="008D665C"/>
    <w:rsid w:val="008D67BE"/>
    <w:rsid w:val="008D7F56"/>
    <w:rsid w:val="008E1151"/>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1D13"/>
    <w:rsid w:val="009326B8"/>
    <w:rsid w:val="0093450D"/>
    <w:rsid w:val="0093472F"/>
    <w:rsid w:val="0093543C"/>
    <w:rsid w:val="00935E97"/>
    <w:rsid w:val="009411ED"/>
    <w:rsid w:val="009421A7"/>
    <w:rsid w:val="00945F91"/>
    <w:rsid w:val="0094624C"/>
    <w:rsid w:val="00947181"/>
    <w:rsid w:val="0095088E"/>
    <w:rsid w:val="00950C5C"/>
    <w:rsid w:val="00950E57"/>
    <w:rsid w:val="00952397"/>
    <w:rsid w:val="009541A7"/>
    <w:rsid w:val="00954422"/>
    <w:rsid w:val="009554C4"/>
    <w:rsid w:val="0095566C"/>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B0D08"/>
    <w:rsid w:val="009B57A0"/>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625F"/>
    <w:rsid w:val="00A279B3"/>
    <w:rsid w:val="00A31865"/>
    <w:rsid w:val="00A32549"/>
    <w:rsid w:val="00A325FB"/>
    <w:rsid w:val="00A32FCC"/>
    <w:rsid w:val="00A36C75"/>
    <w:rsid w:val="00A37604"/>
    <w:rsid w:val="00A4169C"/>
    <w:rsid w:val="00A4218C"/>
    <w:rsid w:val="00A42783"/>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492D"/>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4F13"/>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6D10"/>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70B47"/>
    <w:rsid w:val="00C753F9"/>
    <w:rsid w:val="00C75624"/>
    <w:rsid w:val="00C75AF8"/>
    <w:rsid w:val="00C76B46"/>
    <w:rsid w:val="00C7787D"/>
    <w:rsid w:val="00C821B4"/>
    <w:rsid w:val="00C8336D"/>
    <w:rsid w:val="00C86141"/>
    <w:rsid w:val="00C879CC"/>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4C89"/>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575D"/>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361CC"/>
    <w:rsid w:val="00D42904"/>
    <w:rsid w:val="00D44114"/>
    <w:rsid w:val="00D4469A"/>
    <w:rsid w:val="00D44CA8"/>
    <w:rsid w:val="00D45078"/>
    <w:rsid w:val="00D47EF7"/>
    <w:rsid w:val="00D5162B"/>
    <w:rsid w:val="00D52AEB"/>
    <w:rsid w:val="00D52D25"/>
    <w:rsid w:val="00D53727"/>
    <w:rsid w:val="00D53829"/>
    <w:rsid w:val="00D53D88"/>
    <w:rsid w:val="00D53E9D"/>
    <w:rsid w:val="00D54AD7"/>
    <w:rsid w:val="00D553AD"/>
    <w:rsid w:val="00D56067"/>
    <w:rsid w:val="00D65484"/>
    <w:rsid w:val="00D7045D"/>
    <w:rsid w:val="00D709F3"/>
    <w:rsid w:val="00D71FA0"/>
    <w:rsid w:val="00D74260"/>
    <w:rsid w:val="00D75273"/>
    <w:rsid w:val="00D76D62"/>
    <w:rsid w:val="00D774F8"/>
    <w:rsid w:val="00D77B6F"/>
    <w:rsid w:val="00D82525"/>
    <w:rsid w:val="00D85062"/>
    <w:rsid w:val="00D8552F"/>
    <w:rsid w:val="00D85FF8"/>
    <w:rsid w:val="00D862A1"/>
    <w:rsid w:val="00D91802"/>
    <w:rsid w:val="00D9231D"/>
    <w:rsid w:val="00D928EC"/>
    <w:rsid w:val="00D93953"/>
    <w:rsid w:val="00D95E20"/>
    <w:rsid w:val="00D96A92"/>
    <w:rsid w:val="00D96B77"/>
    <w:rsid w:val="00D979C0"/>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409"/>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0F5A"/>
    <w:rsid w:val="00E715AC"/>
    <w:rsid w:val="00E71C46"/>
    <w:rsid w:val="00E7210C"/>
    <w:rsid w:val="00E7218C"/>
    <w:rsid w:val="00E73F43"/>
    <w:rsid w:val="00E74EAC"/>
    <w:rsid w:val="00E77D92"/>
    <w:rsid w:val="00E80236"/>
    <w:rsid w:val="00E813F2"/>
    <w:rsid w:val="00E82602"/>
    <w:rsid w:val="00E85EAD"/>
    <w:rsid w:val="00E87A4F"/>
    <w:rsid w:val="00E90A4A"/>
    <w:rsid w:val="00E91E08"/>
    <w:rsid w:val="00E92062"/>
    <w:rsid w:val="00E937EF"/>
    <w:rsid w:val="00E941A9"/>
    <w:rsid w:val="00E946D4"/>
    <w:rsid w:val="00E95CBF"/>
    <w:rsid w:val="00EA251E"/>
    <w:rsid w:val="00EA5CCD"/>
    <w:rsid w:val="00EA696E"/>
    <w:rsid w:val="00EA730B"/>
    <w:rsid w:val="00EB20DF"/>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6982"/>
    <w:rsid w:val="00EE7C62"/>
    <w:rsid w:val="00EF071B"/>
    <w:rsid w:val="00EF349F"/>
    <w:rsid w:val="00EF5E73"/>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A0"/>
    <w:rsid w:val="00F46ECF"/>
    <w:rsid w:val="00F4714C"/>
    <w:rsid w:val="00F47875"/>
    <w:rsid w:val="00F50599"/>
    <w:rsid w:val="00F522A3"/>
    <w:rsid w:val="00F52711"/>
    <w:rsid w:val="00F61E54"/>
    <w:rsid w:val="00F64C77"/>
    <w:rsid w:val="00F671F3"/>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30C"/>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241716599">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832523396">
      <w:bodyDiv w:val="1"/>
      <w:marLeft w:val="0"/>
      <w:marRight w:val="0"/>
      <w:marTop w:val="0"/>
      <w:marBottom w:val="0"/>
      <w:divBdr>
        <w:top w:val="none" w:sz="0" w:space="0" w:color="auto"/>
        <w:left w:val="none" w:sz="0" w:space="0" w:color="auto"/>
        <w:bottom w:val="none" w:sz="0" w:space="0" w:color="auto"/>
        <w:right w:val="none" w:sz="0" w:space="0" w:color="auto"/>
      </w:divBdr>
    </w:div>
    <w:div w:id="1922367962">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70154926">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57</TotalTime>
  <Pages>4</Pages>
  <Words>1003</Words>
  <Characters>6369</Characters>
  <Application>Microsoft Office Word</Application>
  <DocSecurity>0</DocSecurity>
  <Lines>53</Lines>
  <Paragraphs>14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7358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34</cp:revision>
  <cp:lastPrinted>2025-04-03T10:57:00Z</cp:lastPrinted>
  <dcterms:created xsi:type="dcterms:W3CDTF">2025-06-19T09:39:00Z</dcterms:created>
  <dcterms:modified xsi:type="dcterms:W3CDTF">2025-06-30T08:12:00Z</dcterms:modified>
</cp:coreProperties>
</file>