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98" w:rsidRDefault="005A0798" w:rsidP="00795F2A">
      <w:pPr>
        <w:pStyle w:val="Title"/>
        <w:rPr>
          <w:rFonts w:ascii="Times New Roman" w:hAnsi="Times New Roman"/>
          <w:szCs w:val="24"/>
        </w:rPr>
      </w:pPr>
      <w:bookmarkStart w:id="0" w:name="_GoBack"/>
      <w:bookmarkEnd w:id="0"/>
      <w:r w:rsidRPr="00ED2F87">
        <w:rPr>
          <w:rFonts w:ascii="Times New Roman" w:hAnsi="Times New Roman"/>
          <w:szCs w:val="24"/>
        </w:rPr>
        <w:t>NOTĂ DE FUNDAMENTARE</w:t>
      </w:r>
    </w:p>
    <w:p w:rsidR="00ED2F87" w:rsidRPr="00ED2F87" w:rsidRDefault="00ED2F87" w:rsidP="00795F2A">
      <w:pPr>
        <w:pStyle w:val="Title"/>
        <w:rPr>
          <w:rFonts w:ascii="Times New Roman" w:hAnsi="Times New Roman"/>
          <w:szCs w:val="24"/>
        </w:rPr>
      </w:pPr>
    </w:p>
    <w:tbl>
      <w:tblPr>
        <w:tblW w:w="10093" w:type="dxa"/>
        <w:tblInd w:w="108" w:type="dxa"/>
        <w:tblLayout w:type="fixed"/>
        <w:tblLook w:val="0000" w:firstRow="0" w:lastRow="0" w:firstColumn="0" w:lastColumn="0" w:noHBand="0" w:noVBand="0"/>
      </w:tblPr>
      <w:tblGrid>
        <w:gridCol w:w="3289"/>
        <w:gridCol w:w="2552"/>
        <w:gridCol w:w="992"/>
        <w:gridCol w:w="709"/>
        <w:gridCol w:w="709"/>
        <w:gridCol w:w="992"/>
        <w:gridCol w:w="850"/>
      </w:tblGrid>
      <w:tr w:rsidR="005A0798" w:rsidRPr="00ED2F87" w:rsidTr="00CF19DB">
        <w:trPr>
          <w:cantSplit/>
          <w:trHeight w:val="149"/>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9C04E7" w:rsidP="00795F2A">
            <w:pPr>
              <w:rPr>
                <w:b/>
              </w:rPr>
            </w:pPr>
            <w:r w:rsidRPr="00ED2F87">
              <w:rPr>
                <w:b/>
              </w:rPr>
              <w:t>Secțiunea</w:t>
            </w:r>
            <w:r w:rsidR="005A0798" w:rsidRPr="00ED2F87">
              <w:rPr>
                <w:b/>
              </w:rPr>
              <w:t xml:space="preserve"> 1  </w:t>
            </w:r>
          </w:p>
          <w:p w:rsidR="005A0798" w:rsidRPr="00ED2F87" w:rsidRDefault="005A0798" w:rsidP="00795F2A">
            <w:pPr>
              <w:jc w:val="both"/>
              <w:rPr>
                <w:b/>
              </w:rPr>
            </w:pPr>
            <w:r w:rsidRPr="00ED2F87">
              <w:rPr>
                <w:b/>
              </w:rPr>
              <w:t xml:space="preserve">Titlul proiectului de act normativ: </w:t>
            </w:r>
          </w:p>
          <w:p w:rsidR="005A0798" w:rsidRPr="00ED2F87" w:rsidRDefault="00C67092" w:rsidP="009C04E7">
            <w:pPr>
              <w:autoSpaceDE w:val="0"/>
              <w:autoSpaceDN w:val="0"/>
              <w:adjustRightInd w:val="0"/>
              <w:jc w:val="both"/>
            </w:pPr>
            <w:bookmarkStart w:id="1" w:name="_Hlk499630162"/>
            <w:r w:rsidRPr="00ED2F87">
              <w:rPr>
                <w:b/>
              </w:rPr>
              <w:t>Hotărâre a Guvernului</w:t>
            </w:r>
            <w:r w:rsidR="009C04E7" w:rsidRPr="00ED2F87">
              <w:rPr>
                <w:b/>
              </w:rPr>
              <w:t xml:space="preserve"> </w:t>
            </w:r>
            <w:r w:rsidRPr="00ED2F87">
              <w:rPr>
                <w:b/>
                <w:lang w:val="pt-BR"/>
              </w:rPr>
              <w:t xml:space="preserve">pentru </w:t>
            </w:r>
            <w:r w:rsidR="00830164" w:rsidRPr="00ED2F87">
              <w:rPr>
                <w:b/>
                <w:lang w:val="pt-BR"/>
              </w:rPr>
              <w:t>modificarea și completarea</w:t>
            </w:r>
            <w:r w:rsidR="00182179" w:rsidRPr="00ED2F87">
              <w:rPr>
                <w:b/>
                <w:lang w:val="pt-BR"/>
              </w:rPr>
              <w:t xml:space="preserve"> unor acte normative</w:t>
            </w:r>
            <w:bookmarkEnd w:id="1"/>
          </w:p>
        </w:tc>
      </w:tr>
      <w:tr w:rsidR="005A0798" w:rsidRPr="00ED2F87" w:rsidTr="00CF19DB">
        <w:trPr>
          <w:cantSplit/>
          <w:trHeight w:val="580"/>
        </w:trPr>
        <w:tc>
          <w:tcPr>
            <w:tcW w:w="10093" w:type="dxa"/>
            <w:gridSpan w:val="7"/>
            <w:tcBorders>
              <w:left w:val="single" w:sz="4" w:space="0" w:color="000000"/>
              <w:bottom w:val="single" w:sz="4" w:space="0" w:color="000000"/>
              <w:right w:val="single" w:sz="4" w:space="0" w:color="000000"/>
            </w:tcBorders>
          </w:tcPr>
          <w:p w:rsidR="005A0798" w:rsidRPr="00ED2F87" w:rsidRDefault="005A0798" w:rsidP="003E32F0">
            <w:pPr>
              <w:pStyle w:val="Heading1"/>
              <w:tabs>
                <w:tab w:val="num" w:pos="432"/>
              </w:tabs>
              <w:suppressAutoHyphens/>
              <w:spacing w:before="0" w:after="0"/>
              <w:rPr>
                <w:rFonts w:ascii="Times New Roman" w:hAnsi="Times New Roman" w:cs="Times New Roman"/>
                <w:sz w:val="24"/>
                <w:szCs w:val="24"/>
              </w:rPr>
            </w:pPr>
            <w:r w:rsidRPr="00ED2F87">
              <w:rPr>
                <w:rFonts w:ascii="Times New Roman" w:hAnsi="Times New Roman" w:cs="Times New Roman"/>
                <w:sz w:val="24"/>
                <w:szCs w:val="24"/>
              </w:rPr>
              <w:t>Sec</w:t>
            </w:r>
            <w:r w:rsidR="00611759" w:rsidRPr="00ED2F87">
              <w:rPr>
                <w:rFonts w:ascii="Times New Roman" w:hAnsi="Times New Roman" w:cs="Times New Roman"/>
                <w:sz w:val="24"/>
                <w:szCs w:val="24"/>
              </w:rPr>
              <w:t>ț</w:t>
            </w:r>
            <w:r w:rsidRPr="00ED2F87">
              <w:rPr>
                <w:rFonts w:ascii="Times New Roman" w:hAnsi="Times New Roman" w:cs="Times New Roman"/>
                <w:sz w:val="24"/>
                <w:szCs w:val="24"/>
              </w:rPr>
              <w:t>iunea a 2-a</w:t>
            </w:r>
          </w:p>
          <w:p w:rsidR="00ED2F87" w:rsidRPr="00ED2F87" w:rsidRDefault="005A0798" w:rsidP="00CF19DB">
            <w:pPr>
              <w:rPr>
                <w:b/>
                <w:bCs/>
              </w:rPr>
            </w:pPr>
            <w:r w:rsidRPr="00ED2F87">
              <w:rPr>
                <w:b/>
                <w:bCs/>
              </w:rPr>
              <w:t xml:space="preserve">Motivul emiterii actului normativ </w:t>
            </w:r>
          </w:p>
        </w:tc>
      </w:tr>
      <w:tr w:rsidR="005A0798" w:rsidRPr="00ED2F87" w:rsidTr="00CF19DB">
        <w:trPr>
          <w:trHeight w:val="12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3"/>
              </w:numPr>
              <w:ind w:left="0" w:firstLine="0"/>
              <w:jc w:val="both"/>
            </w:pPr>
            <w:r w:rsidRPr="00ED2F87">
              <w:rPr>
                <w:b/>
              </w:rPr>
              <w:t>Descrierea situa</w:t>
            </w:r>
            <w:r w:rsidR="00611759" w:rsidRPr="00ED2F87">
              <w:rPr>
                <w:b/>
              </w:rPr>
              <w:t>ț</w:t>
            </w:r>
            <w:r w:rsidRPr="00ED2F87">
              <w:rPr>
                <w:b/>
              </w:rPr>
              <w:t>iei actuale</w:t>
            </w:r>
            <w:r w:rsidRPr="00ED2F87">
              <w:t xml:space="preserve"> </w:t>
            </w:r>
          </w:p>
          <w:p w:rsidR="005A0798" w:rsidRPr="00ED2F87" w:rsidRDefault="005A0798" w:rsidP="00795F2A"/>
        </w:tc>
        <w:tc>
          <w:tcPr>
            <w:tcW w:w="6804" w:type="dxa"/>
            <w:gridSpan w:val="6"/>
            <w:tcBorders>
              <w:top w:val="single" w:sz="4" w:space="0" w:color="000000"/>
              <w:left w:val="single" w:sz="4" w:space="0" w:color="000000"/>
              <w:bottom w:val="single" w:sz="4" w:space="0" w:color="000000"/>
              <w:right w:val="single" w:sz="4" w:space="0" w:color="000000"/>
            </w:tcBorders>
          </w:tcPr>
          <w:p w:rsidR="00B16BDC" w:rsidRPr="00ED2F87" w:rsidRDefault="00104620" w:rsidP="0048494A">
            <w:pPr>
              <w:jc w:val="both"/>
              <w:rPr>
                <w:lang w:eastAsia="ar-SA"/>
              </w:rPr>
            </w:pPr>
            <w:r w:rsidRPr="00ED2F87">
              <w:rPr>
                <w:lang w:eastAsia="ar-SA"/>
              </w:rPr>
              <w:t>Proiectul de act normativ privește modificarea și completarea unor acte normative din domeniul industriei naționale de apărare, respectiv</w:t>
            </w:r>
            <w:r w:rsidR="00B16BDC" w:rsidRPr="00ED2F87">
              <w:rPr>
                <w:lang w:eastAsia="ar-SA"/>
              </w:rPr>
              <w:t>:</w:t>
            </w:r>
          </w:p>
          <w:p w:rsidR="00B16BDC" w:rsidRPr="00ED2F87" w:rsidRDefault="00104620" w:rsidP="00CD48EF">
            <w:pPr>
              <w:pStyle w:val="ListParagraph"/>
              <w:numPr>
                <w:ilvl w:val="0"/>
                <w:numId w:val="18"/>
              </w:numPr>
              <w:jc w:val="both"/>
              <w:rPr>
                <w:lang w:eastAsia="ar-SA"/>
              </w:rPr>
            </w:pPr>
            <w:r w:rsidRPr="00ED2F87">
              <w:rPr>
                <w:bCs/>
                <w:lang w:val="pt-BR" w:eastAsia="ar-SA"/>
              </w:rPr>
              <w:t>Hotărârea Guvernului nr. 637/2017 pentru organizarea și funcționarea Consiliului pentru Coordonarea Industriei Naționale de Apărare</w:t>
            </w:r>
            <w:r w:rsidR="00B16BDC" w:rsidRPr="00ED2F87">
              <w:rPr>
                <w:bCs/>
                <w:lang w:val="pt-BR" w:eastAsia="ar-SA"/>
              </w:rPr>
              <w:t>;</w:t>
            </w:r>
          </w:p>
          <w:p w:rsidR="00104620" w:rsidRPr="00ED2F87" w:rsidRDefault="00104620" w:rsidP="00CD48EF">
            <w:pPr>
              <w:pStyle w:val="ListParagraph"/>
              <w:numPr>
                <w:ilvl w:val="0"/>
                <w:numId w:val="18"/>
              </w:numPr>
              <w:jc w:val="both"/>
              <w:rPr>
                <w:lang w:eastAsia="ar-SA"/>
              </w:rPr>
            </w:pPr>
            <w:r w:rsidRPr="00ED2F87">
              <w:rPr>
                <w:bCs/>
                <w:lang w:val="pt-BR" w:eastAsia="ar-SA"/>
              </w:rPr>
              <w:t xml:space="preserve">Hotărârea Guvernului nr. 174/2017 </w:t>
            </w:r>
            <w:r w:rsidRPr="00ED2F87">
              <w:rPr>
                <w:lang w:eastAsia="ar-SA"/>
              </w:rPr>
              <w:t>pentru aprobarea Normelor metodologice privind modul de calcul al drepturilor salariale pentru salariații încadrați cu contract individual de muncă pe durată nedeterminată la operatorii economici cu capital majoritar sau integral de stat din industria națională de apărare care nu desfășoară activități de bază din lipsă de comenzi sau contracte, precum și pentru stabilirea activităților prevăzute la art. 24 din Legea nr. 232/2016 privind industria națională de apărare, precum și pentru modificarea și completarea unor acte normative.</w:t>
            </w:r>
          </w:p>
          <w:p w:rsidR="009D456B" w:rsidRPr="00ED2F87" w:rsidRDefault="00983698" w:rsidP="00CF7E7C">
            <w:pPr>
              <w:jc w:val="both"/>
              <w:rPr>
                <w:i/>
                <w:lang w:eastAsia="ar-SA"/>
              </w:rPr>
            </w:pPr>
            <w:r w:rsidRPr="00ED2F87">
              <w:rPr>
                <w:b/>
                <w:lang w:eastAsia="ar-SA"/>
              </w:rPr>
              <w:t>1</w:t>
            </w:r>
            <w:r w:rsidR="00CF7E7C" w:rsidRPr="00ED2F87">
              <w:rPr>
                <w:lang w:eastAsia="ar-SA"/>
              </w:rPr>
              <w:t>.</w:t>
            </w:r>
            <w:r w:rsidRPr="00ED2F87">
              <w:rPr>
                <w:b/>
                <w:lang w:eastAsia="ar-SA"/>
              </w:rPr>
              <w:t xml:space="preserve"> </w:t>
            </w:r>
            <w:r w:rsidR="009D456B" w:rsidRPr="00ED2F87">
              <w:rPr>
                <w:lang w:eastAsia="ar-SA"/>
              </w:rPr>
              <w:t xml:space="preserve">Prin HG nr. 637/2017 </w:t>
            </w:r>
            <w:r w:rsidR="003232DF" w:rsidRPr="00ED2F87">
              <w:rPr>
                <w:lang w:eastAsia="ar-SA"/>
              </w:rPr>
              <w:t xml:space="preserve">s-a prevăzut </w:t>
            </w:r>
            <w:r w:rsidR="00E018F2" w:rsidRPr="00ED2F87">
              <w:rPr>
                <w:lang w:eastAsia="ar-SA"/>
              </w:rPr>
              <w:t xml:space="preserve">la art. 3 alin. (2) </w:t>
            </w:r>
            <w:r w:rsidR="003232DF" w:rsidRPr="00ED2F87">
              <w:rPr>
                <w:lang w:eastAsia="ar-SA"/>
              </w:rPr>
              <w:t>c</w:t>
            </w:r>
            <w:r w:rsidR="00E018F2" w:rsidRPr="00ED2F87">
              <w:rPr>
                <w:lang w:eastAsia="ar-SA"/>
              </w:rPr>
              <w:t>ă</w:t>
            </w:r>
            <w:r w:rsidR="003232DF" w:rsidRPr="00ED2F87">
              <w:rPr>
                <w:lang w:eastAsia="ar-SA"/>
              </w:rPr>
              <w:t xml:space="preserve"> reprezentanții entităților componente ale Consiliului </w:t>
            </w:r>
            <w:r w:rsidRPr="00ED2F87">
              <w:rPr>
                <w:lang w:eastAsia="ar-SA"/>
              </w:rPr>
              <w:t>trebuie să dețină certificate de securitate, potrivit legislației specifice protecției informațiilor clasificate.</w:t>
            </w:r>
          </w:p>
          <w:p w:rsidR="009D456B" w:rsidRPr="00ED2F87" w:rsidRDefault="00AB7746" w:rsidP="00B373D3">
            <w:pPr>
              <w:suppressAutoHyphens/>
              <w:spacing w:after="60"/>
              <w:jc w:val="both"/>
              <w:rPr>
                <w:lang w:eastAsia="ar-SA"/>
              </w:rPr>
            </w:pPr>
            <w:r w:rsidRPr="00ED2F87">
              <w:rPr>
                <w:lang w:eastAsia="ar-SA"/>
              </w:rPr>
              <w:t>Astfel,</w:t>
            </w:r>
            <w:r w:rsidR="00983698" w:rsidRPr="00ED2F87">
              <w:rPr>
                <w:lang w:eastAsia="ar-SA"/>
              </w:rPr>
              <w:t xml:space="preserve"> pentru a pentru respectarea dispozițiilor HG nr. 585/2002</w:t>
            </w:r>
            <w:r w:rsidR="00983698" w:rsidRPr="00ED2F87">
              <w:rPr>
                <w:rFonts w:eastAsia="Calibri"/>
              </w:rPr>
              <w:t xml:space="preserve"> pentru aprobarea Standardelor naționale de protecție a informațiilor clasificate în România, se va modifica art. 3 alin. (2) în sensul ca reprezentanții entităților componente ale Consiliului trebuie să dețină autorizație de acces la informații clasificate.</w:t>
            </w:r>
          </w:p>
          <w:p w:rsidR="00983698" w:rsidRPr="00ED2F87" w:rsidRDefault="00CF7E7C" w:rsidP="00983698">
            <w:pPr>
              <w:suppressAutoHyphens/>
              <w:spacing w:after="60"/>
              <w:jc w:val="both"/>
              <w:rPr>
                <w:rFonts w:eastAsia="Calibri"/>
                <w:color w:val="000000"/>
              </w:rPr>
            </w:pPr>
            <w:r w:rsidRPr="00ED2F87">
              <w:rPr>
                <w:b/>
                <w:lang w:eastAsia="ar-SA"/>
              </w:rPr>
              <w:t>2</w:t>
            </w:r>
            <w:r w:rsidR="00983698" w:rsidRPr="00ED2F87">
              <w:rPr>
                <w:b/>
                <w:lang w:eastAsia="ar-SA"/>
              </w:rPr>
              <w:t xml:space="preserve">. </w:t>
            </w:r>
            <w:r w:rsidR="00C85401" w:rsidRPr="00ED2F87">
              <w:rPr>
                <w:lang w:eastAsia="ar-SA"/>
              </w:rPr>
              <w:t xml:space="preserve">Adoptarea HG nr. 174/2017 </w:t>
            </w:r>
            <w:r w:rsidR="00983698" w:rsidRPr="00ED2F87">
              <w:rPr>
                <w:lang w:eastAsia="ar-SA"/>
              </w:rPr>
              <w:t>a avut ca scop</w:t>
            </w:r>
            <w:r w:rsidR="00C85401" w:rsidRPr="00ED2F87">
              <w:rPr>
                <w:lang w:eastAsia="ar-SA"/>
              </w:rPr>
              <w:t xml:space="preserve"> </w:t>
            </w:r>
            <w:r w:rsidR="00983698" w:rsidRPr="00ED2F87">
              <w:rPr>
                <w:lang w:eastAsia="ar-SA"/>
              </w:rPr>
              <w:t xml:space="preserve">reglementarea </w:t>
            </w:r>
            <w:r w:rsidR="00983698" w:rsidRPr="00ED2F87">
              <w:rPr>
                <w:rFonts w:eastAsia="Calibri"/>
              </w:rPr>
              <w:t xml:space="preserve">modului </w:t>
            </w:r>
            <w:r w:rsidR="00983698" w:rsidRPr="00ED2F87">
              <w:rPr>
                <w:rFonts w:eastAsia="Calibri"/>
                <w:color w:val="000000"/>
              </w:rPr>
              <w:t>de calcul al drepturilor salariale pentru salariații încadrați cu contract individual de muncă pe durată nedeterminată la operatorii economici cu capital majoritar sau integral de stat din industria națională de apărare care nu desfășoară activități de bază din lipsă de comenzi sau contracte, precum și pentru stabilirea activităților prevăzute la art. 24 din Legea nr. 232/2016 privind industria națională de apărare, precum și pentru modificarea și completarea unor acte normative.</w:t>
            </w:r>
          </w:p>
          <w:p w:rsidR="00645230" w:rsidRPr="00ED2F87" w:rsidRDefault="00983698" w:rsidP="00B373D3">
            <w:pPr>
              <w:suppressAutoHyphens/>
              <w:spacing w:after="60"/>
              <w:jc w:val="both"/>
              <w:rPr>
                <w:rFonts w:eastAsia="Calibri"/>
                <w:color w:val="000000"/>
              </w:rPr>
            </w:pPr>
            <w:r w:rsidRPr="00ED2F87">
              <w:rPr>
                <w:rFonts w:eastAsia="Calibri"/>
                <w:color w:val="000000"/>
              </w:rPr>
              <w:t>Pentru acoperirea drepturilor salariale ale personalului menționat, pentru asigurarea fondului lunar pentru fiecare operator economic și pentru un circuit cât mai clar al documentelor, se impune modificarea a doua alineate, respectiv alin. (2) și (5) ale art. 2 și completarea acestui articol cu un nou alineat, alin. (7).</w:t>
            </w:r>
          </w:p>
          <w:p w:rsidR="003E32F0" w:rsidRPr="00ED2F87" w:rsidRDefault="003E32F0" w:rsidP="0085104B">
            <w:pPr>
              <w:jc w:val="both"/>
              <w:rPr>
                <w:color w:val="000000"/>
              </w:rPr>
            </w:pPr>
            <w:r w:rsidRPr="00ED2F87">
              <w:t xml:space="preserve">În prezent, la art. 2 alin. (2) din HG nr. 174/2017 se prevede că </w:t>
            </w:r>
            <w:r w:rsidRPr="00ED2F87">
              <w:rPr>
                <w:rStyle w:val="l5def1"/>
                <w:rFonts w:ascii="Times New Roman" w:hAnsi="Times New Roman" w:cs="Times New Roman"/>
                <w:sz w:val="24"/>
                <w:szCs w:val="24"/>
              </w:rPr>
              <w:t xml:space="preserve">fondul lunar pentru fiecare operator economic se </w:t>
            </w:r>
            <w:r w:rsidR="00756940" w:rsidRPr="00ED2F87">
              <w:rPr>
                <w:rStyle w:val="l5def1"/>
                <w:rFonts w:ascii="Times New Roman" w:hAnsi="Times New Roman" w:cs="Times New Roman"/>
                <w:sz w:val="24"/>
                <w:szCs w:val="24"/>
              </w:rPr>
              <w:t>stabilește</w:t>
            </w:r>
            <w:r w:rsidRPr="00ED2F87">
              <w:rPr>
                <w:rStyle w:val="l5def1"/>
                <w:rFonts w:ascii="Times New Roman" w:hAnsi="Times New Roman" w:cs="Times New Roman"/>
                <w:sz w:val="24"/>
                <w:szCs w:val="24"/>
              </w:rPr>
              <w:t xml:space="preserve"> de ministerul de resort pe baza analizei de încărcare a </w:t>
            </w:r>
            <w:r w:rsidR="00756940" w:rsidRPr="00ED2F87">
              <w:rPr>
                <w:rStyle w:val="l5def1"/>
                <w:rFonts w:ascii="Times New Roman" w:hAnsi="Times New Roman" w:cs="Times New Roman"/>
                <w:sz w:val="24"/>
                <w:szCs w:val="24"/>
              </w:rPr>
              <w:t>capacităților</w:t>
            </w:r>
            <w:r w:rsidRPr="00ED2F87">
              <w:rPr>
                <w:rStyle w:val="l5def1"/>
                <w:rFonts w:ascii="Times New Roman" w:hAnsi="Times New Roman" w:cs="Times New Roman"/>
                <w:sz w:val="24"/>
                <w:szCs w:val="24"/>
              </w:rPr>
              <w:t xml:space="preserve"> de </w:t>
            </w:r>
            <w:r w:rsidR="00756940" w:rsidRPr="00ED2F87">
              <w:rPr>
                <w:rStyle w:val="l5def1"/>
                <w:rFonts w:ascii="Times New Roman" w:hAnsi="Times New Roman" w:cs="Times New Roman"/>
                <w:sz w:val="24"/>
                <w:szCs w:val="24"/>
              </w:rPr>
              <w:t>producție</w:t>
            </w:r>
            <w:r w:rsidRPr="00ED2F87">
              <w:rPr>
                <w:rStyle w:val="l5def1"/>
                <w:rFonts w:ascii="Times New Roman" w:hAnsi="Times New Roman" w:cs="Times New Roman"/>
                <w:sz w:val="24"/>
                <w:szCs w:val="24"/>
              </w:rPr>
              <w:t xml:space="preserve"> pentru apărare cu comenzi militare, de export </w:t>
            </w:r>
            <w:r w:rsidR="00756940" w:rsidRPr="00ED2F87">
              <w:rPr>
                <w:rStyle w:val="l5def1"/>
                <w:rFonts w:ascii="Times New Roman" w:hAnsi="Times New Roman" w:cs="Times New Roman"/>
                <w:sz w:val="24"/>
                <w:szCs w:val="24"/>
              </w:rPr>
              <w:t>și</w:t>
            </w:r>
            <w:r w:rsidRPr="00ED2F87">
              <w:rPr>
                <w:rStyle w:val="l5def1"/>
                <w:rFonts w:ascii="Times New Roman" w:hAnsi="Times New Roman" w:cs="Times New Roman"/>
                <w:sz w:val="24"/>
                <w:szCs w:val="24"/>
              </w:rPr>
              <w:t xml:space="preserve"> civile </w:t>
            </w:r>
            <w:r w:rsidR="00756940" w:rsidRPr="00ED2F87">
              <w:rPr>
                <w:rStyle w:val="l5def1"/>
                <w:rFonts w:ascii="Times New Roman" w:hAnsi="Times New Roman" w:cs="Times New Roman"/>
                <w:sz w:val="24"/>
                <w:szCs w:val="24"/>
              </w:rPr>
              <w:t>și</w:t>
            </w:r>
            <w:r w:rsidRPr="00ED2F87">
              <w:rPr>
                <w:rStyle w:val="l5def1"/>
                <w:rFonts w:ascii="Times New Roman" w:hAnsi="Times New Roman" w:cs="Times New Roman"/>
                <w:sz w:val="24"/>
                <w:szCs w:val="24"/>
              </w:rPr>
              <w:t xml:space="preserve"> a </w:t>
            </w:r>
            <w:r w:rsidR="00756940" w:rsidRPr="00ED2F87">
              <w:rPr>
                <w:rStyle w:val="l5def1"/>
                <w:rFonts w:ascii="Times New Roman" w:hAnsi="Times New Roman" w:cs="Times New Roman"/>
                <w:sz w:val="24"/>
                <w:szCs w:val="24"/>
              </w:rPr>
              <w:t>activităților</w:t>
            </w:r>
            <w:r w:rsidRPr="00ED2F87">
              <w:rPr>
                <w:rStyle w:val="l5def1"/>
                <w:rFonts w:ascii="Times New Roman" w:hAnsi="Times New Roman" w:cs="Times New Roman"/>
                <w:sz w:val="24"/>
                <w:szCs w:val="24"/>
              </w:rPr>
              <w:t xml:space="preserve"> prevăzute la art.1, potrivit anexei nr. 1.</w:t>
            </w:r>
            <w:r w:rsidRPr="00ED2F87">
              <w:rPr>
                <w:color w:val="000000"/>
              </w:rPr>
              <w:t> </w:t>
            </w:r>
          </w:p>
        </w:tc>
      </w:tr>
      <w:tr w:rsidR="005A0798" w:rsidRPr="00ED2F87" w:rsidTr="00CF19DB">
        <w:trPr>
          <w:trHeight w:val="426"/>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23492D">
            <w:pPr>
              <w:spacing w:after="120"/>
              <w:jc w:val="both"/>
            </w:pPr>
            <w:r w:rsidRPr="00ED2F87">
              <w:lastRenderedPageBreak/>
              <w:t>1</w:t>
            </w:r>
            <w:r w:rsidRPr="00ED2F87">
              <w:rPr>
                <w:vertAlign w:val="superscript"/>
              </w:rPr>
              <w:t>1</w:t>
            </w:r>
            <w:r w:rsidRPr="00ED2F87">
              <w:t xml:space="preserve"> prezentul act normativ nu transpune legisla</w:t>
            </w:r>
            <w:r w:rsidR="00611759" w:rsidRPr="00ED2F87">
              <w:t>ț</w:t>
            </w:r>
            <w:r w:rsidRPr="00ED2F87">
              <w:t xml:space="preserve">ia comunitară </w:t>
            </w:r>
            <w:r w:rsidR="00611759" w:rsidRPr="00ED2F87">
              <w:t>ș</w:t>
            </w:r>
            <w:r w:rsidRPr="00ED2F87">
              <w:t>i nu creează cadrul pentru aplicarea directă a acesteia.</w:t>
            </w:r>
          </w:p>
        </w:tc>
      </w:tr>
      <w:tr w:rsidR="005A0798" w:rsidRPr="00ED2F87" w:rsidTr="00CF19DB">
        <w:trPr>
          <w:trHeight w:val="658"/>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3"/>
              </w:numPr>
              <w:ind w:left="0" w:firstLine="0"/>
              <w:jc w:val="both"/>
            </w:pPr>
            <w:r w:rsidRPr="00ED2F87">
              <w:rPr>
                <w:b/>
              </w:rPr>
              <w:t>Schimbări preconizate</w:t>
            </w:r>
          </w:p>
        </w:tc>
        <w:tc>
          <w:tcPr>
            <w:tcW w:w="6804" w:type="dxa"/>
            <w:gridSpan w:val="6"/>
            <w:tcBorders>
              <w:top w:val="single" w:sz="4" w:space="0" w:color="000000"/>
              <w:left w:val="single" w:sz="4" w:space="0" w:color="000000"/>
              <w:bottom w:val="single" w:sz="4" w:space="0" w:color="000000"/>
              <w:right w:val="single" w:sz="4" w:space="0" w:color="000000"/>
            </w:tcBorders>
          </w:tcPr>
          <w:p w:rsidR="0085104B" w:rsidRPr="00ED2F87" w:rsidRDefault="0085104B" w:rsidP="0085104B">
            <w:pPr>
              <w:jc w:val="both"/>
            </w:pPr>
            <w:r w:rsidRPr="00ED2F87">
              <w:t>Întrucât, fondul lunar pentru plata drepturilor salariale și a contribuțiilor datorate de angajator pentru activitățile desfășurate în conformitate cu prevederile art. 1 din HG nr. 174/2017 este stabilit (determinat) de operatorii economici pe baza anexei nr. 1 la HG nr. 174/2017 și este comunicat ministerului de resort, potrivit anexei nr. 2 la HG nr. 174/2017, în vederea alocării sumelor prevăzute anual cu această destinație de la bugetul de stat, prin bugetul Ministerului Economiei, se impune modificarea art. 2 alin. (2) din HG nr. 174/2017, după cum urmează:</w:t>
            </w:r>
          </w:p>
          <w:p w:rsidR="0085104B" w:rsidRPr="00ED2F87" w:rsidRDefault="0085104B" w:rsidP="0085104B">
            <w:pPr>
              <w:jc w:val="both"/>
            </w:pPr>
            <w:r w:rsidRPr="00ED2F87">
              <w:t>“</w:t>
            </w:r>
            <w:r w:rsidRPr="00ED2F87">
              <w:rPr>
                <w:i/>
              </w:rPr>
              <w:t>Fondul lunar pentru plata drepturilor salariale și a contribuțiilor datorate de angajator pentru activitățile desfășurate în conformitate cu prevederile art. 1 din HG nr. 174/2017 este stabilit de către operatorii economici pe baza încărcării personalului aferent capacităților de producție și/sau servicii pentru apărare conform Anexei nr. 1.</w:t>
            </w:r>
            <w:r w:rsidRPr="00ED2F87">
              <w:t>”</w:t>
            </w:r>
          </w:p>
          <w:p w:rsidR="005A0798" w:rsidRDefault="0085104B" w:rsidP="0085104B">
            <w:pPr>
              <w:jc w:val="both"/>
              <w:rPr>
                <w:rStyle w:val="l5def1"/>
                <w:rFonts w:ascii="Times New Roman" w:hAnsi="Times New Roman" w:cs="Times New Roman"/>
                <w:sz w:val="24"/>
                <w:szCs w:val="24"/>
              </w:rPr>
            </w:pPr>
            <w:r w:rsidRPr="00ED2F87">
              <w:t xml:space="preserve">Totodată, în acest sens, potrivit anexei nr. 2 la HG nr. 174/2017 “Decont justificativ pentru stabilirea fondului lunar potrivit art. 1 pe luna …” </w:t>
            </w:r>
            <w:r w:rsidRPr="00ED2F87">
              <w:rPr>
                <w:rStyle w:val="l5def1"/>
                <w:rFonts w:ascii="Times New Roman" w:hAnsi="Times New Roman" w:cs="Times New Roman"/>
                <w:sz w:val="24"/>
                <w:szCs w:val="24"/>
              </w:rPr>
              <w:t>conducerea executivă a  operatorului economic confirmă realitatea, regularitatea și legalitatea operațiunilor din decontul justificativ prezentat la plată și arată că măsurile sunt necesare și limitate la menținerea capacităților de producție pentru apărare.</w:t>
            </w:r>
          </w:p>
          <w:p w:rsidR="00C40D5B" w:rsidRDefault="00C40D5B" w:rsidP="00C40D5B">
            <w:pPr>
              <w:jc w:val="both"/>
              <w:rPr>
                <w:rStyle w:val="l5def1"/>
                <w:rFonts w:ascii="Times New Roman" w:hAnsi="Times New Roman" w:cs="Times New Roman"/>
                <w:sz w:val="24"/>
                <w:szCs w:val="24"/>
              </w:rPr>
            </w:pPr>
            <w:r w:rsidRPr="00483DCD">
              <w:rPr>
                <w:rStyle w:val="l5def1"/>
                <w:rFonts w:ascii="Times New Roman" w:hAnsi="Times New Roman" w:cs="Times New Roman"/>
                <w:sz w:val="24"/>
                <w:szCs w:val="24"/>
              </w:rPr>
              <w:t>Prevederile titlului V "</w:t>
            </w:r>
            <w:proofErr w:type="spellStart"/>
            <w:r w:rsidRPr="00483DCD">
              <w:rPr>
                <w:rStyle w:val="l5def1"/>
                <w:rFonts w:ascii="Times New Roman" w:hAnsi="Times New Roman" w:cs="Times New Roman"/>
                <w:sz w:val="24"/>
                <w:szCs w:val="24"/>
              </w:rPr>
              <w:t>Contribuţii</w:t>
            </w:r>
            <w:proofErr w:type="spellEnd"/>
            <w:r w:rsidRPr="00483DCD">
              <w:rPr>
                <w:rStyle w:val="l5def1"/>
                <w:rFonts w:ascii="Times New Roman" w:hAnsi="Times New Roman" w:cs="Times New Roman"/>
                <w:sz w:val="24"/>
                <w:szCs w:val="24"/>
              </w:rPr>
              <w:t xml:space="preserve"> sociale obligatorii"</w:t>
            </w:r>
            <w:r>
              <w:t xml:space="preserve"> din </w:t>
            </w:r>
            <w:r w:rsidRPr="006C3599">
              <w:rPr>
                <w:rStyle w:val="l5def1"/>
                <w:rFonts w:ascii="Times New Roman" w:hAnsi="Times New Roman" w:cs="Times New Roman"/>
                <w:sz w:val="24"/>
                <w:szCs w:val="24"/>
              </w:rPr>
              <w:t>Legea nr. 227/2015</w:t>
            </w:r>
            <w:r>
              <w:rPr>
                <w:rStyle w:val="l5def1"/>
                <w:rFonts w:ascii="Times New Roman" w:hAnsi="Times New Roman" w:cs="Times New Roman"/>
                <w:sz w:val="24"/>
                <w:szCs w:val="24"/>
              </w:rPr>
              <w:t xml:space="preserve"> </w:t>
            </w:r>
            <w:r w:rsidRPr="006C3599">
              <w:rPr>
                <w:rStyle w:val="l5def1"/>
                <w:rFonts w:ascii="Times New Roman" w:hAnsi="Times New Roman" w:cs="Times New Roman"/>
                <w:sz w:val="24"/>
                <w:szCs w:val="24"/>
              </w:rPr>
              <w:t>privind Codul fiscal</w:t>
            </w:r>
            <w:r>
              <w:rPr>
                <w:rStyle w:val="l5def1"/>
                <w:rFonts w:ascii="Times New Roman" w:hAnsi="Times New Roman" w:cs="Times New Roman"/>
                <w:sz w:val="24"/>
                <w:szCs w:val="24"/>
              </w:rPr>
              <w:t>, cu modificările și completările ulterioare (</w:t>
            </w:r>
            <w:r w:rsidRPr="006C3599">
              <w:rPr>
                <w:rStyle w:val="l5def1"/>
                <w:rFonts w:ascii="Times New Roman" w:hAnsi="Times New Roman" w:cs="Times New Roman"/>
                <w:i/>
                <w:sz w:val="24"/>
                <w:szCs w:val="24"/>
              </w:rPr>
              <w:t xml:space="preserve">OUG nr. 79/2017 privind modificarea </w:t>
            </w:r>
            <w:proofErr w:type="spellStart"/>
            <w:r w:rsidRPr="006C3599">
              <w:rPr>
                <w:rStyle w:val="l5def1"/>
                <w:rFonts w:ascii="Times New Roman" w:hAnsi="Times New Roman" w:cs="Times New Roman"/>
                <w:i/>
                <w:sz w:val="24"/>
                <w:szCs w:val="24"/>
              </w:rPr>
              <w:t>şi</w:t>
            </w:r>
            <w:proofErr w:type="spellEnd"/>
            <w:r w:rsidRPr="006C3599">
              <w:rPr>
                <w:rStyle w:val="l5def1"/>
                <w:rFonts w:ascii="Times New Roman" w:hAnsi="Times New Roman" w:cs="Times New Roman"/>
                <w:i/>
                <w:sz w:val="24"/>
                <w:szCs w:val="24"/>
              </w:rPr>
              <w:t xml:space="preserve"> completarea Legii nr. 227/2015 privind Codul fiscal</w:t>
            </w:r>
            <w:r>
              <w:rPr>
                <w:rStyle w:val="l5def1"/>
                <w:rFonts w:ascii="Times New Roman" w:hAnsi="Times New Roman" w:cs="Times New Roman"/>
                <w:sz w:val="24"/>
                <w:szCs w:val="24"/>
              </w:rPr>
              <w:t xml:space="preserve">) </w:t>
            </w:r>
            <w:r w:rsidRPr="00483DCD">
              <w:rPr>
                <w:rStyle w:val="l5def1"/>
                <w:rFonts w:ascii="Times New Roman" w:hAnsi="Times New Roman" w:cs="Times New Roman"/>
                <w:sz w:val="24"/>
                <w:szCs w:val="24"/>
              </w:rPr>
              <w:t>s</w:t>
            </w:r>
            <w:r>
              <w:rPr>
                <w:rStyle w:val="l5def1"/>
                <w:rFonts w:ascii="Times New Roman" w:hAnsi="Times New Roman" w:cs="Times New Roman"/>
                <w:sz w:val="24"/>
                <w:szCs w:val="24"/>
              </w:rPr>
              <w:t xml:space="preserve">unt </w:t>
            </w:r>
            <w:r w:rsidRPr="00483DCD">
              <w:rPr>
                <w:rStyle w:val="l5def1"/>
                <w:rFonts w:ascii="Times New Roman" w:hAnsi="Times New Roman" w:cs="Times New Roman"/>
                <w:sz w:val="24"/>
                <w:szCs w:val="24"/>
              </w:rPr>
              <w:t>aplica</w:t>
            </w:r>
            <w:r>
              <w:rPr>
                <w:rStyle w:val="l5def1"/>
                <w:rFonts w:ascii="Times New Roman" w:hAnsi="Times New Roman" w:cs="Times New Roman"/>
                <w:sz w:val="24"/>
                <w:szCs w:val="24"/>
              </w:rPr>
              <w:t>te</w:t>
            </w:r>
            <w:r w:rsidRPr="00483DCD">
              <w:rPr>
                <w:rStyle w:val="l5def1"/>
                <w:rFonts w:ascii="Times New Roman" w:hAnsi="Times New Roman" w:cs="Times New Roman"/>
                <w:sz w:val="24"/>
                <w:szCs w:val="24"/>
              </w:rPr>
              <w:t xml:space="preserve"> veniturilor realizate</w:t>
            </w:r>
            <w:r>
              <w:rPr>
                <w:rStyle w:val="l5def1"/>
                <w:rFonts w:ascii="Times New Roman" w:hAnsi="Times New Roman" w:cs="Times New Roman"/>
                <w:sz w:val="24"/>
                <w:szCs w:val="24"/>
              </w:rPr>
              <w:t>,</w:t>
            </w:r>
            <w:r w:rsidRPr="00483DCD">
              <w:rPr>
                <w:rStyle w:val="l5def1"/>
                <w:rFonts w:ascii="Times New Roman" w:hAnsi="Times New Roman" w:cs="Times New Roman"/>
                <w:sz w:val="24"/>
                <w:szCs w:val="24"/>
              </w:rPr>
              <w:t xml:space="preserve"> începând cu data de 1 ianuarie 2018.  </w:t>
            </w:r>
          </w:p>
          <w:p w:rsidR="009D3AF8" w:rsidRPr="00ED2F87" w:rsidRDefault="009D3AF8" w:rsidP="0085104B">
            <w:pPr>
              <w:jc w:val="both"/>
              <w:rPr>
                <w:color w:val="000000"/>
              </w:rPr>
            </w:pPr>
            <w:r w:rsidRPr="00666502">
              <w:rPr>
                <w:rStyle w:val="l5def1"/>
                <w:rFonts w:ascii="Times New Roman" w:hAnsi="Times New Roman" w:cs="Times New Roman"/>
                <w:sz w:val="24"/>
                <w:szCs w:val="24"/>
              </w:rPr>
              <w:t xml:space="preserve">Pentru punerea în aplicare a </w:t>
            </w:r>
            <w:proofErr w:type="spellStart"/>
            <w:r w:rsidRPr="00666502">
              <w:rPr>
                <w:rStyle w:val="l5def1"/>
                <w:rFonts w:ascii="Times New Roman" w:hAnsi="Times New Roman" w:cs="Times New Roman"/>
                <w:sz w:val="24"/>
                <w:szCs w:val="24"/>
              </w:rPr>
              <w:t>dispoziţiilor</w:t>
            </w:r>
            <w:proofErr w:type="spellEnd"/>
            <w:r w:rsidRPr="00666502">
              <w:rPr>
                <w:rStyle w:val="l5def1"/>
                <w:rFonts w:ascii="Times New Roman" w:hAnsi="Times New Roman" w:cs="Times New Roman"/>
                <w:sz w:val="24"/>
                <w:szCs w:val="24"/>
              </w:rPr>
              <w:t xml:space="preserve"> OUG nr. 79/2017 privind modificarea </w:t>
            </w:r>
            <w:proofErr w:type="spellStart"/>
            <w:r w:rsidRPr="00666502">
              <w:rPr>
                <w:rStyle w:val="l5def1"/>
                <w:rFonts w:ascii="Times New Roman" w:hAnsi="Times New Roman" w:cs="Times New Roman"/>
                <w:sz w:val="24"/>
                <w:szCs w:val="24"/>
              </w:rPr>
              <w:t>şi</w:t>
            </w:r>
            <w:proofErr w:type="spellEnd"/>
            <w:r w:rsidRPr="00666502">
              <w:rPr>
                <w:rStyle w:val="l5def1"/>
                <w:rFonts w:ascii="Times New Roman" w:hAnsi="Times New Roman" w:cs="Times New Roman"/>
                <w:sz w:val="24"/>
                <w:szCs w:val="24"/>
              </w:rPr>
              <w:t xml:space="preserve"> completarea Legii nr. 227/2015 privind Codul fiscal referitoare la transferul </w:t>
            </w:r>
            <w:proofErr w:type="spellStart"/>
            <w:r w:rsidRPr="00666502">
              <w:rPr>
                <w:rStyle w:val="l5def1"/>
                <w:rFonts w:ascii="Times New Roman" w:hAnsi="Times New Roman" w:cs="Times New Roman"/>
                <w:sz w:val="24"/>
                <w:szCs w:val="24"/>
              </w:rPr>
              <w:t>contribuţiilor</w:t>
            </w:r>
            <w:proofErr w:type="spellEnd"/>
            <w:r w:rsidRPr="00666502">
              <w:rPr>
                <w:rStyle w:val="l5def1"/>
                <w:rFonts w:ascii="Times New Roman" w:hAnsi="Times New Roman" w:cs="Times New Roman"/>
                <w:sz w:val="24"/>
                <w:szCs w:val="24"/>
              </w:rPr>
              <w:t xml:space="preserve"> sociale de la angajator la angajat, în anul 2018 singura </w:t>
            </w:r>
            <w:proofErr w:type="spellStart"/>
            <w:r w:rsidRPr="00666502">
              <w:rPr>
                <w:rStyle w:val="l5def1"/>
                <w:rFonts w:ascii="Times New Roman" w:hAnsi="Times New Roman" w:cs="Times New Roman"/>
                <w:sz w:val="24"/>
                <w:szCs w:val="24"/>
              </w:rPr>
              <w:t>contribuţie</w:t>
            </w:r>
            <w:proofErr w:type="spellEnd"/>
            <w:r w:rsidRPr="00666502">
              <w:rPr>
                <w:rStyle w:val="l5def1"/>
                <w:rFonts w:ascii="Times New Roman" w:hAnsi="Times New Roman" w:cs="Times New Roman"/>
                <w:sz w:val="24"/>
                <w:szCs w:val="24"/>
              </w:rPr>
              <w:t xml:space="preserve"> socială datorată exclusiv de angajatori este </w:t>
            </w:r>
            <w:proofErr w:type="spellStart"/>
            <w:r w:rsidRPr="00666502">
              <w:rPr>
                <w:rStyle w:val="l5def1"/>
                <w:rFonts w:ascii="Times New Roman" w:hAnsi="Times New Roman" w:cs="Times New Roman"/>
                <w:i/>
                <w:sz w:val="24"/>
                <w:szCs w:val="24"/>
              </w:rPr>
              <w:t>Contribuţia</w:t>
            </w:r>
            <w:proofErr w:type="spellEnd"/>
            <w:r w:rsidRPr="00666502">
              <w:rPr>
                <w:rStyle w:val="l5def1"/>
                <w:rFonts w:ascii="Times New Roman" w:hAnsi="Times New Roman" w:cs="Times New Roman"/>
                <w:i/>
                <w:sz w:val="24"/>
                <w:szCs w:val="24"/>
              </w:rPr>
              <w:t xml:space="preserve"> asiguratorie pentru muncă</w:t>
            </w:r>
            <w:r w:rsidRPr="00666502">
              <w:rPr>
                <w:rStyle w:val="l5def1"/>
                <w:rFonts w:ascii="Times New Roman" w:hAnsi="Times New Roman" w:cs="Times New Roman"/>
                <w:sz w:val="24"/>
                <w:szCs w:val="24"/>
              </w:rPr>
              <w:t>, sens în care este necesar modificarea</w:t>
            </w:r>
            <w:r>
              <w:rPr>
                <w:rStyle w:val="l5def1"/>
                <w:rFonts w:ascii="Times New Roman" w:hAnsi="Times New Roman" w:cs="Times New Roman"/>
                <w:sz w:val="24"/>
                <w:szCs w:val="24"/>
              </w:rPr>
              <w:t xml:space="preserve"> și completarea</w:t>
            </w:r>
            <w:r w:rsidRPr="00666502">
              <w:rPr>
                <w:rStyle w:val="l5def1"/>
                <w:rFonts w:ascii="Times New Roman" w:hAnsi="Times New Roman" w:cs="Times New Roman"/>
                <w:sz w:val="24"/>
                <w:szCs w:val="24"/>
              </w:rPr>
              <w:t xml:space="preserve"> Anexei nr. 2 la Normele Metodologice privind modul de calcul al drepturilor salariale pentru salariații încadrați cu contract individual de muncă pe durată nedeterminată la operatorii economici cu capital majoritar sau integral de stat din industria </w:t>
            </w:r>
            <w:proofErr w:type="spellStart"/>
            <w:r w:rsidRPr="00666502">
              <w:rPr>
                <w:rStyle w:val="l5def1"/>
                <w:rFonts w:ascii="Times New Roman" w:hAnsi="Times New Roman" w:cs="Times New Roman"/>
                <w:sz w:val="24"/>
                <w:szCs w:val="24"/>
              </w:rPr>
              <w:t>naţională</w:t>
            </w:r>
            <w:proofErr w:type="spellEnd"/>
            <w:r w:rsidRPr="00666502">
              <w:rPr>
                <w:rStyle w:val="l5def1"/>
                <w:rFonts w:ascii="Times New Roman" w:hAnsi="Times New Roman" w:cs="Times New Roman"/>
                <w:sz w:val="24"/>
                <w:szCs w:val="24"/>
              </w:rPr>
              <w:t xml:space="preserve"> de apărare care nu desfășoară activități de bază din lipsă de comenzi sau contracte, precum </w:t>
            </w:r>
            <w:proofErr w:type="spellStart"/>
            <w:r w:rsidRPr="00666502">
              <w:rPr>
                <w:rStyle w:val="l5def1"/>
                <w:rFonts w:ascii="Times New Roman" w:hAnsi="Times New Roman" w:cs="Times New Roman"/>
                <w:sz w:val="24"/>
                <w:szCs w:val="24"/>
              </w:rPr>
              <w:t>şi</w:t>
            </w:r>
            <w:proofErr w:type="spellEnd"/>
            <w:r w:rsidRPr="00666502">
              <w:rPr>
                <w:rStyle w:val="l5def1"/>
                <w:rFonts w:ascii="Times New Roman" w:hAnsi="Times New Roman" w:cs="Times New Roman"/>
                <w:sz w:val="24"/>
                <w:szCs w:val="24"/>
              </w:rPr>
              <w:t xml:space="preserve"> pentru stabilirea </w:t>
            </w:r>
            <w:proofErr w:type="spellStart"/>
            <w:r w:rsidRPr="00666502">
              <w:rPr>
                <w:rStyle w:val="l5def1"/>
                <w:rFonts w:ascii="Times New Roman" w:hAnsi="Times New Roman" w:cs="Times New Roman"/>
                <w:sz w:val="24"/>
                <w:szCs w:val="24"/>
              </w:rPr>
              <w:t>activităţilor</w:t>
            </w:r>
            <w:proofErr w:type="spellEnd"/>
            <w:r w:rsidRPr="00666502">
              <w:rPr>
                <w:rStyle w:val="l5def1"/>
                <w:rFonts w:ascii="Times New Roman" w:hAnsi="Times New Roman" w:cs="Times New Roman"/>
                <w:sz w:val="24"/>
                <w:szCs w:val="24"/>
              </w:rPr>
              <w:t xml:space="preserve"> prevăzute la art. 24 din Legea nr. 232/2016 privind industria </w:t>
            </w:r>
            <w:proofErr w:type="spellStart"/>
            <w:r w:rsidRPr="00666502">
              <w:rPr>
                <w:rStyle w:val="l5def1"/>
                <w:rFonts w:ascii="Times New Roman" w:hAnsi="Times New Roman" w:cs="Times New Roman"/>
                <w:sz w:val="24"/>
                <w:szCs w:val="24"/>
              </w:rPr>
              <w:t>naţională</w:t>
            </w:r>
            <w:proofErr w:type="spellEnd"/>
            <w:r w:rsidRPr="00666502">
              <w:rPr>
                <w:rStyle w:val="l5def1"/>
                <w:rFonts w:ascii="Times New Roman" w:hAnsi="Times New Roman" w:cs="Times New Roman"/>
                <w:sz w:val="24"/>
                <w:szCs w:val="24"/>
              </w:rPr>
              <w:t xml:space="preserve"> de apărare, precum </w:t>
            </w:r>
            <w:proofErr w:type="spellStart"/>
            <w:r w:rsidRPr="00666502">
              <w:rPr>
                <w:rStyle w:val="l5def1"/>
                <w:rFonts w:ascii="Times New Roman" w:hAnsi="Times New Roman" w:cs="Times New Roman"/>
                <w:sz w:val="24"/>
                <w:szCs w:val="24"/>
              </w:rPr>
              <w:t>şi</w:t>
            </w:r>
            <w:proofErr w:type="spellEnd"/>
            <w:r w:rsidRPr="00666502">
              <w:rPr>
                <w:rStyle w:val="l5def1"/>
                <w:rFonts w:ascii="Times New Roman" w:hAnsi="Times New Roman" w:cs="Times New Roman"/>
                <w:sz w:val="24"/>
                <w:szCs w:val="24"/>
              </w:rPr>
              <w:t xml:space="preserve"> pentru modificarea </w:t>
            </w:r>
            <w:proofErr w:type="spellStart"/>
            <w:r w:rsidRPr="00666502">
              <w:rPr>
                <w:rStyle w:val="l5def1"/>
                <w:rFonts w:ascii="Times New Roman" w:hAnsi="Times New Roman" w:cs="Times New Roman"/>
                <w:sz w:val="24"/>
                <w:szCs w:val="24"/>
              </w:rPr>
              <w:t>şi</w:t>
            </w:r>
            <w:proofErr w:type="spellEnd"/>
            <w:r w:rsidRPr="00666502">
              <w:rPr>
                <w:rStyle w:val="l5def1"/>
                <w:rFonts w:ascii="Times New Roman" w:hAnsi="Times New Roman" w:cs="Times New Roman"/>
                <w:sz w:val="24"/>
                <w:szCs w:val="24"/>
              </w:rPr>
              <w:t xml:space="preserve"> completarea unor acte normative, aprobate prin Hotărârea Guvernului 174/2017.</w:t>
            </w:r>
          </w:p>
        </w:tc>
      </w:tr>
      <w:tr w:rsidR="005A0798" w:rsidRPr="00ED2F87" w:rsidTr="00CF19DB">
        <w:trPr>
          <w:trHeight w:val="341"/>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3"/>
              </w:numPr>
              <w:ind w:left="0" w:firstLine="0"/>
              <w:jc w:val="both"/>
              <w:rPr>
                <w:b/>
              </w:rPr>
            </w:pPr>
            <w:r w:rsidRPr="00ED2F87">
              <w:rPr>
                <w:b/>
              </w:rPr>
              <w:t>Alte informa</w:t>
            </w:r>
            <w:r w:rsidR="00611759" w:rsidRPr="00ED2F87">
              <w:rPr>
                <w:b/>
              </w:rPr>
              <w:t>ț</w:t>
            </w:r>
            <w:r w:rsidRPr="00ED2F87">
              <w:rPr>
                <w:b/>
              </w:rPr>
              <w:t>ii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both"/>
            </w:pPr>
            <w:r w:rsidRPr="00ED2F87">
              <w:rPr>
                <w:bCs/>
              </w:rPr>
              <w:t>Nu au fost identificate</w:t>
            </w:r>
          </w:p>
        </w:tc>
      </w:tr>
      <w:tr w:rsidR="005A0798" w:rsidRPr="00ED2F87" w:rsidTr="00CF19DB">
        <w:trPr>
          <w:cantSplit/>
          <w:trHeight w:val="149"/>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611759">
            <w:pPr>
              <w:pStyle w:val="Heading1"/>
              <w:tabs>
                <w:tab w:val="num" w:pos="432"/>
              </w:tabs>
              <w:suppressAutoHyphens/>
              <w:spacing w:before="0" w:after="0"/>
              <w:rPr>
                <w:rFonts w:ascii="Times New Roman" w:hAnsi="Times New Roman" w:cs="Times New Roman"/>
                <w:sz w:val="24"/>
                <w:szCs w:val="24"/>
              </w:rPr>
            </w:pPr>
            <w:r w:rsidRPr="00ED2F87">
              <w:rPr>
                <w:rFonts w:ascii="Times New Roman" w:hAnsi="Times New Roman" w:cs="Times New Roman"/>
                <w:sz w:val="24"/>
                <w:szCs w:val="24"/>
              </w:rPr>
              <w:t>Sec</w:t>
            </w:r>
            <w:r w:rsidR="00611759" w:rsidRPr="00ED2F87">
              <w:rPr>
                <w:rFonts w:ascii="Times New Roman" w:hAnsi="Times New Roman" w:cs="Times New Roman"/>
                <w:sz w:val="24"/>
                <w:szCs w:val="24"/>
              </w:rPr>
              <w:t>ț</w:t>
            </w:r>
            <w:r w:rsidRPr="00ED2F87">
              <w:rPr>
                <w:rFonts w:ascii="Times New Roman" w:hAnsi="Times New Roman" w:cs="Times New Roman"/>
                <w:sz w:val="24"/>
                <w:szCs w:val="24"/>
              </w:rPr>
              <w:t>iunea a 3-a</w:t>
            </w:r>
          </w:p>
          <w:p w:rsidR="00ED2F87" w:rsidRPr="00ED2F87" w:rsidRDefault="005A0798" w:rsidP="00CF19DB">
            <w:pPr>
              <w:pStyle w:val="Heading1"/>
              <w:tabs>
                <w:tab w:val="num" w:pos="432"/>
              </w:tabs>
              <w:suppressAutoHyphens/>
              <w:spacing w:before="0" w:after="0"/>
              <w:ind w:left="432" w:hanging="432"/>
            </w:pPr>
            <w:r w:rsidRPr="00ED2F87">
              <w:rPr>
                <w:rFonts w:ascii="Times New Roman" w:hAnsi="Times New Roman" w:cs="Times New Roman"/>
                <w:sz w:val="24"/>
                <w:szCs w:val="24"/>
              </w:rPr>
              <w:t>Impactul socioeconomic al proiectului de act normativ</w:t>
            </w: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4"/>
              </w:numPr>
              <w:ind w:left="0" w:firstLine="0"/>
              <w:jc w:val="both"/>
            </w:pPr>
            <w:r w:rsidRPr="00ED2F87">
              <w:rPr>
                <w:b/>
              </w:rPr>
              <w:t>Impactul macroeconomic</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9640AC">
            <w:pPr>
              <w:jc w:val="both"/>
            </w:pPr>
            <w:r w:rsidRPr="00ED2F87">
              <w:t xml:space="preserve">Nu a fost identificat </w:t>
            </w: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795F2A">
            <w:pPr>
              <w:suppressAutoHyphens/>
            </w:pPr>
            <w:r w:rsidRPr="00ED2F87">
              <w:rPr>
                <w:b/>
                <w:lang w:val="it-IT"/>
              </w:rPr>
              <w:t xml:space="preserve">1^1 </w:t>
            </w:r>
            <w:r w:rsidRPr="00ED2F87">
              <w:rPr>
                <w:b/>
              </w:rPr>
              <w:t>Impactul asupra mediului concuren</w:t>
            </w:r>
            <w:r w:rsidR="00B373D3" w:rsidRPr="00ED2F87">
              <w:rPr>
                <w:b/>
              </w:rPr>
              <w:t>ț</w:t>
            </w:r>
            <w:r w:rsidRPr="00ED2F87">
              <w:rPr>
                <w:b/>
              </w:rPr>
              <w:t xml:space="preserve">ial </w:t>
            </w:r>
            <w:r w:rsidR="00B373D3" w:rsidRPr="00ED2F87">
              <w:rPr>
                <w:b/>
              </w:rPr>
              <w:t>ș</w:t>
            </w:r>
            <w:r w:rsidRPr="00ED2F87">
              <w:rPr>
                <w:b/>
              </w:rPr>
              <w:t>i domeniului ajutoarelor de stat</w:t>
            </w:r>
          </w:p>
        </w:tc>
        <w:tc>
          <w:tcPr>
            <w:tcW w:w="6804" w:type="dxa"/>
            <w:gridSpan w:val="6"/>
            <w:tcBorders>
              <w:top w:val="single" w:sz="4" w:space="0" w:color="000000"/>
              <w:left w:val="single" w:sz="4" w:space="0" w:color="000000"/>
              <w:bottom w:val="single" w:sz="4" w:space="0" w:color="000000"/>
              <w:right w:val="single" w:sz="4" w:space="0" w:color="000000"/>
            </w:tcBorders>
          </w:tcPr>
          <w:p w:rsidR="00481D23" w:rsidRPr="00ED2F87" w:rsidRDefault="00481D23" w:rsidP="003364FA">
            <w:pPr>
              <w:jc w:val="both"/>
              <w:rPr>
                <w:bCs/>
              </w:rPr>
            </w:pPr>
          </w:p>
          <w:p w:rsidR="005A0798" w:rsidRPr="00ED2F87" w:rsidRDefault="005A0798" w:rsidP="003364FA">
            <w:pPr>
              <w:jc w:val="both"/>
              <w:rPr>
                <w:strike/>
              </w:rPr>
            </w:pPr>
            <w:r w:rsidRPr="00ED2F87">
              <w:rPr>
                <w:bCs/>
              </w:rPr>
              <w:t>Proiectul de act normativ nu se referă la acest subiect.</w:t>
            </w:r>
          </w:p>
        </w:tc>
      </w:tr>
      <w:tr w:rsidR="005A0798" w:rsidRPr="00ED2F87" w:rsidTr="00CF19DB">
        <w:trPr>
          <w:trHeight w:val="561"/>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4"/>
              </w:numPr>
              <w:ind w:left="0" w:firstLine="0"/>
              <w:jc w:val="both"/>
            </w:pPr>
            <w:r w:rsidRPr="00ED2F87">
              <w:rPr>
                <w:b/>
              </w:rPr>
              <w:lastRenderedPageBreak/>
              <w:t>Impactul asupra mediului de afaceri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jc w:val="both"/>
            </w:pPr>
            <w:r w:rsidRPr="00ED2F87">
              <w:rPr>
                <w:bCs/>
              </w:rPr>
              <w:t>Proiectul de act normativ nu se referă la acest subiect.</w:t>
            </w:r>
          </w:p>
        </w:tc>
      </w:tr>
      <w:tr w:rsidR="005A0798" w:rsidRPr="00ED2F87" w:rsidTr="00CF19DB">
        <w:trPr>
          <w:trHeight w:val="435"/>
        </w:trPr>
        <w:tc>
          <w:tcPr>
            <w:tcW w:w="3289" w:type="dxa"/>
            <w:tcBorders>
              <w:top w:val="single" w:sz="4" w:space="0" w:color="000000"/>
              <w:left w:val="single" w:sz="4" w:space="0" w:color="000000"/>
              <w:bottom w:val="single" w:sz="4" w:space="0" w:color="000000"/>
            </w:tcBorders>
          </w:tcPr>
          <w:p w:rsidR="005A0798" w:rsidRPr="00ED2F87" w:rsidRDefault="005A0798" w:rsidP="00795F2A">
            <w:pPr>
              <w:suppressAutoHyphens/>
              <w:rPr>
                <w:b/>
              </w:rPr>
            </w:pPr>
            <w:r w:rsidRPr="00ED2F87">
              <w:rPr>
                <w:b/>
                <w:lang w:val="pt-BR"/>
              </w:rPr>
              <w:t>2</w:t>
            </w:r>
            <w:r w:rsidRPr="00ED2F87">
              <w:rPr>
                <w:b/>
                <w:lang w:val="it-IT"/>
              </w:rPr>
              <w:t>^1. Impactul asupra sarcinilor administrative</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jc w:val="both"/>
            </w:pPr>
            <w:r w:rsidRPr="00ED2F87">
              <w:rPr>
                <w:bCs/>
              </w:rPr>
              <w:t>Proiectul de act normativ nu se referă la acest subiect.</w:t>
            </w: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147B41">
            <w:pPr>
              <w:suppressAutoHyphens/>
              <w:rPr>
                <w:b/>
                <w:lang w:val="pt-BR"/>
              </w:rPr>
            </w:pPr>
            <w:r w:rsidRPr="00ED2F87">
              <w:rPr>
                <w:b/>
                <w:lang w:val="pt-BR"/>
              </w:rPr>
              <w:t>2</w:t>
            </w:r>
            <w:r w:rsidRPr="00ED2F87">
              <w:rPr>
                <w:b/>
                <w:lang w:val="it-IT"/>
              </w:rPr>
              <w:t xml:space="preserve">^2. Impactul asupra IMMurilor </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jc w:val="both"/>
            </w:pPr>
            <w:r w:rsidRPr="00ED2F87">
              <w:rPr>
                <w:bCs/>
              </w:rPr>
              <w:t>Proiectul de act normativ nu se referă la acest subiect.</w:t>
            </w: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4"/>
              </w:numPr>
              <w:ind w:left="0" w:firstLine="0"/>
              <w:jc w:val="both"/>
              <w:rPr>
                <w:bCs/>
              </w:rPr>
            </w:pPr>
            <w:r w:rsidRPr="00ED2F87">
              <w:rPr>
                <w:b/>
              </w:rPr>
              <w:t>Impactul social</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jc w:val="both"/>
            </w:pPr>
            <w:r w:rsidRPr="00ED2F87">
              <w:rPr>
                <w:bCs/>
              </w:rPr>
              <w:t>Proiectul de act normativ nu se referă la acest subiect.</w:t>
            </w: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4"/>
              </w:numPr>
              <w:ind w:left="0" w:firstLine="0"/>
              <w:jc w:val="both"/>
            </w:pPr>
            <w:r w:rsidRPr="00ED2F87">
              <w:rPr>
                <w:b/>
              </w:rPr>
              <w:t>Impactul asupra mediului</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r w:rsidRPr="00ED2F87">
              <w:t>Proiectul de act normativ nu se referă la acest subiect.</w:t>
            </w: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4"/>
              </w:numPr>
              <w:ind w:left="0" w:firstLine="0"/>
              <w:jc w:val="both"/>
              <w:rPr>
                <w:b/>
                <w:bCs/>
              </w:rPr>
            </w:pPr>
            <w:r w:rsidRPr="00ED2F87">
              <w:rPr>
                <w:b/>
              </w:rPr>
              <w:t>Alte informa</w:t>
            </w:r>
            <w:r w:rsidR="00B373D3" w:rsidRPr="00ED2F87">
              <w:rPr>
                <w:b/>
              </w:rPr>
              <w:t>ț</w:t>
            </w:r>
            <w:r w:rsidRPr="00ED2F87">
              <w:rPr>
                <w:b/>
              </w:rPr>
              <w:t>ii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C40D5B">
            <w:pPr>
              <w:snapToGrid w:val="0"/>
              <w:rPr>
                <w:b/>
                <w:bCs/>
              </w:rPr>
            </w:pPr>
            <w:r w:rsidRPr="00ED2F87">
              <w:rPr>
                <w:bCs/>
              </w:rPr>
              <w:t>Nu au fost identificate</w:t>
            </w:r>
          </w:p>
        </w:tc>
      </w:tr>
      <w:tr w:rsidR="005A0798" w:rsidRPr="00ED2F87" w:rsidTr="00CF19DB">
        <w:trPr>
          <w:cantSplit/>
          <w:trHeight w:val="149"/>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3E32F0">
            <w:pPr>
              <w:pStyle w:val="Heading1"/>
              <w:tabs>
                <w:tab w:val="num" w:pos="432"/>
              </w:tabs>
              <w:suppressAutoHyphens/>
              <w:spacing w:before="0" w:after="0"/>
              <w:rPr>
                <w:rFonts w:ascii="Times New Roman" w:hAnsi="Times New Roman" w:cs="Times New Roman"/>
                <w:sz w:val="24"/>
                <w:szCs w:val="24"/>
              </w:rPr>
            </w:pPr>
            <w:r w:rsidRPr="00ED2F87">
              <w:rPr>
                <w:rFonts w:ascii="Times New Roman" w:hAnsi="Times New Roman" w:cs="Times New Roman"/>
                <w:sz w:val="24"/>
                <w:szCs w:val="24"/>
              </w:rPr>
              <w:t>Sec</w:t>
            </w:r>
            <w:r w:rsidR="00B373D3" w:rsidRPr="00ED2F87">
              <w:rPr>
                <w:rFonts w:ascii="Times New Roman" w:hAnsi="Times New Roman" w:cs="Times New Roman"/>
                <w:sz w:val="24"/>
                <w:szCs w:val="24"/>
              </w:rPr>
              <w:t>ț</w:t>
            </w:r>
            <w:r w:rsidRPr="00ED2F87">
              <w:rPr>
                <w:rFonts w:ascii="Times New Roman" w:hAnsi="Times New Roman" w:cs="Times New Roman"/>
                <w:sz w:val="24"/>
                <w:szCs w:val="24"/>
              </w:rPr>
              <w:t>iunea a 4-a</w:t>
            </w:r>
          </w:p>
          <w:p w:rsidR="00ED2F87" w:rsidRPr="00ED2F87" w:rsidRDefault="005A0798" w:rsidP="00CF19DB">
            <w:pPr>
              <w:rPr>
                <w:b/>
                <w:bCs/>
              </w:rPr>
            </w:pPr>
            <w:r w:rsidRPr="00ED2F87">
              <w:rPr>
                <w:b/>
                <w:bCs/>
              </w:rPr>
              <w:t xml:space="preserve">Impactul financiar asupra bugetului general consolidat, atât pe termen scurt, pentru anul curent, cât </w:t>
            </w:r>
            <w:r w:rsidR="00B373D3" w:rsidRPr="00ED2F87">
              <w:rPr>
                <w:b/>
                <w:bCs/>
              </w:rPr>
              <w:t>ș</w:t>
            </w:r>
            <w:r w:rsidRPr="00ED2F87">
              <w:rPr>
                <w:b/>
                <w:bCs/>
              </w:rPr>
              <w:t>i pe termen lung (pe 5 ani)</w:t>
            </w:r>
          </w:p>
        </w:tc>
      </w:tr>
      <w:tr w:rsidR="005A0798" w:rsidRPr="00ED2F87" w:rsidTr="00CF19DB">
        <w:trPr>
          <w:cantSplit/>
          <w:trHeight w:val="149"/>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jc w:val="right"/>
            </w:pPr>
            <w:r w:rsidRPr="00ED2F87">
              <w:t xml:space="preserve">- mii lei </w:t>
            </w:r>
            <w:r w:rsidRPr="00ED2F87">
              <w:rPr>
                <w:b/>
                <w:bCs/>
              </w:rPr>
              <w:t>-</w:t>
            </w:r>
          </w:p>
        </w:tc>
      </w:tr>
      <w:tr w:rsidR="005A0798" w:rsidRPr="00ED2F87" w:rsidTr="00CF19DB">
        <w:trPr>
          <w:cantSplit/>
          <w:trHeight w:val="330"/>
        </w:trPr>
        <w:tc>
          <w:tcPr>
            <w:tcW w:w="3289" w:type="dxa"/>
            <w:vMerge w:val="restart"/>
            <w:tcBorders>
              <w:top w:val="single" w:sz="4" w:space="0" w:color="000000"/>
              <w:left w:val="single" w:sz="4" w:space="0" w:color="000000"/>
              <w:bottom w:val="single" w:sz="4" w:space="0" w:color="000000"/>
            </w:tcBorders>
            <w:vAlign w:val="center"/>
          </w:tcPr>
          <w:p w:rsidR="005A0798" w:rsidRPr="00ED2F87" w:rsidRDefault="005A0798" w:rsidP="00795F2A">
            <w:pPr>
              <w:pStyle w:val="Heading3"/>
              <w:numPr>
                <w:ilvl w:val="2"/>
                <w:numId w:val="0"/>
              </w:numPr>
              <w:tabs>
                <w:tab w:val="num" w:pos="720"/>
              </w:tabs>
              <w:suppressAutoHyphens/>
              <w:spacing w:before="0" w:after="0"/>
              <w:ind w:left="720" w:hanging="720"/>
              <w:rPr>
                <w:szCs w:val="24"/>
                <w:lang w:val="ro-RO"/>
              </w:rPr>
            </w:pPr>
            <w:r w:rsidRPr="00ED2F87">
              <w:rPr>
                <w:szCs w:val="24"/>
                <w:lang w:val="ro-RO"/>
              </w:rPr>
              <w:t>Indicatori</w:t>
            </w:r>
          </w:p>
        </w:tc>
        <w:tc>
          <w:tcPr>
            <w:tcW w:w="2552" w:type="dxa"/>
            <w:tcBorders>
              <w:top w:val="single" w:sz="4" w:space="0" w:color="000000"/>
              <w:left w:val="single" w:sz="4" w:space="0" w:color="000000"/>
              <w:bottom w:val="single" w:sz="4" w:space="0" w:color="000000"/>
            </w:tcBorders>
            <w:vAlign w:val="center"/>
          </w:tcPr>
          <w:p w:rsidR="005A0798" w:rsidRPr="00ED2F87" w:rsidRDefault="005A0798" w:rsidP="00795F2A">
            <w:pPr>
              <w:jc w:val="center"/>
            </w:pPr>
            <w:r w:rsidRPr="00ED2F87">
              <w:t>Anul curent</w:t>
            </w:r>
          </w:p>
        </w:tc>
        <w:tc>
          <w:tcPr>
            <w:tcW w:w="3402" w:type="dxa"/>
            <w:gridSpan w:val="4"/>
            <w:tcBorders>
              <w:top w:val="single" w:sz="4" w:space="0" w:color="000000"/>
              <w:left w:val="single" w:sz="4" w:space="0" w:color="000000"/>
              <w:bottom w:val="single" w:sz="4" w:space="0" w:color="000000"/>
            </w:tcBorders>
            <w:vAlign w:val="center"/>
          </w:tcPr>
          <w:p w:rsidR="005A0798" w:rsidRPr="00ED2F87" w:rsidRDefault="005A0798" w:rsidP="00795F2A">
            <w:pPr>
              <w:pStyle w:val="Heading3"/>
              <w:numPr>
                <w:ilvl w:val="2"/>
                <w:numId w:val="0"/>
              </w:numPr>
              <w:tabs>
                <w:tab w:val="num" w:pos="720"/>
              </w:tabs>
              <w:suppressAutoHyphens/>
              <w:spacing w:before="0" w:after="0"/>
              <w:ind w:left="720" w:hanging="720"/>
              <w:rPr>
                <w:szCs w:val="24"/>
                <w:lang w:val="ro-RO"/>
              </w:rPr>
            </w:pPr>
            <w:r w:rsidRPr="00ED2F87">
              <w:rPr>
                <w:szCs w:val="24"/>
                <w:lang w:val="ro-RO"/>
              </w:rPr>
              <w:t>Următorii 4 ani</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pPr>
              <w:jc w:val="center"/>
            </w:pPr>
            <w:r w:rsidRPr="00ED2F87">
              <w:t>Media pe 5 ani</w:t>
            </w:r>
          </w:p>
        </w:tc>
      </w:tr>
      <w:tr w:rsidR="005A0798" w:rsidRPr="00ED2F87" w:rsidTr="00CF19DB">
        <w:trPr>
          <w:cantSplit/>
          <w:trHeight w:val="329"/>
        </w:trPr>
        <w:tc>
          <w:tcPr>
            <w:tcW w:w="3289" w:type="dxa"/>
            <w:vMerge/>
            <w:tcBorders>
              <w:top w:val="single" w:sz="4" w:space="0" w:color="000000"/>
              <w:left w:val="single" w:sz="4" w:space="0" w:color="000000"/>
              <w:bottom w:val="single" w:sz="4" w:space="0" w:color="000000"/>
            </w:tcBorders>
            <w:vAlign w:val="center"/>
          </w:tcPr>
          <w:p w:rsidR="005A0798" w:rsidRPr="00ED2F87" w:rsidRDefault="005A0798" w:rsidP="00795F2A">
            <w:pPr>
              <w:pStyle w:val="Heading3"/>
              <w:numPr>
                <w:ilvl w:val="2"/>
                <w:numId w:val="0"/>
              </w:numPr>
              <w:tabs>
                <w:tab w:val="num" w:pos="720"/>
              </w:tabs>
              <w:suppressAutoHyphens/>
              <w:snapToGrid w:val="0"/>
              <w:spacing w:before="0" w:after="0"/>
              <w:ind w:left="720" w:hanging="720"/>
              <w:rPr>
                <w:b/>
                <w:bCs/>
                <w:szCs w:val="24"/>
                <w:lang w:val="ro-RO"/>
              </w:rPr>
            </w:pPr>
          </w:p>
        </w:tc>
        <w:tc>
          <w:tcPr>
            <w:tcW w:w="2552" w:type="dxa"/>
            <w:tcBorders>
              <w:top w:val="single" w:sz="4" w:space="0" w:color="000000"/>
              <w:left w:val="single" w:sz="4" w:space="0" w:color="000000"/>
              <w:bottom w:val="single" w:sz="4" w:space="0" w:color="000000"/>
            </w:tcBorders>
            <w:vAlign w:val="center"/>
          </w:tcPr>
          <w:p w:rsidR="005A0798" w:rsidRPr="00ED2F87" w:rsidRDefault="005A0798" w:rsidP="003364FA">
            <w:pPr>
              <w:jc w:val="center"/>
            </w:pPr>
            <w:r w:rsidRPr="00ED2F87">
              <w:t>201</w:t>
            </w:r>
            <w:r w:rsidR="00763370" w:rsidRPr="00ED2F87">
              <w:t>8</w:t>
            </w:r>
          </w:p>
        </w:tc>
        <w:tc>
          <w:tcPr>
            <w:tcW w:w="992" w:type="dxa"/>
            <w:tcBorders>
              <w:top w:val="single" w:sz="4" w:space="0" w:color="000000"/>
              <w:left w:val="single" w:sz="4" w:space="0" w:color="000000"/>
              <w:bottom w:val="single" w:sz="4" w:space="0" w:color="000000"/>
            </w:tcBorders>
            <w:vAlign w:val="center"/>
          </w:tcPr>
          <w:p w:rsidR="005A0798" w:rsidRPr="00ED2F87" w:rsidRDefault="005A0798" w:rsidP="003364FA">
            <w:pPr>
              <w:pStyle w:val="Heading3"/>
              <w:numPr>
                <w:ilvl w:val="2"/>
                <w:numId w:val="0"/>
              </w:numPr>
              <w:tabs>
                <w:tab w:val="num" w:pos="720"/>
              </w:tabs>
              <w:suppressAutoHyphens/>
              <w:spacing w:before="0" w:after="0"/>
              <w:ind w:left="720" w:hanging="720"/>
              <w:rPr>
                <w:szCs w:val="24"/>
                <w:lang w:val="ro-RO"/>
              </w:rPr>
            </w:pPr>
            <w:r w:rsidRPr="00ED2F87">
              <w:rPr>
                <w:szCs w:val="24"/>
                <w:lang w:val="ro-RO"/>
              </w:rPr>
              <w:t>201</w:t>
            </w:r>
            <w:r w:rsidR="00763370" w:rsidRPr="00ED2F87">
              <w:rPr>
                <w:szCs w:val="24"/>
                <w:lang w:val="ro-RO"/>
              </w:rPr>
              <w:t>9</w:t>
            </w:r>
          </w:p>
        </w:tc>
        <w:tc>
          <w:tcPr>
            <w:tcW w:w="709" w:type="dxa"/>
            <w:tcBorders>
              <w:top w:val="single" w:sz="4" w:space="0" w:color="000000"/>
              <w:left w:val="single" w:sz="4" w:space="0" w:color="000000"/>
              <w:bottom w:val="single" w:sz="4" w:space="0" w:color="000000"/>
            </w:tcBorders>
            <w:vAlign w:val="center"/>
          </w:tcPr>
          <w:p w:rsidR="005A0798" w:rsidRPr="00ED2F87" w:rsidRDefault="005A0798" w:rsidP="00F40867">
            <w:pPr>
              <w:pStyle w:val="Heading3"/>
              <w:numPr>
                <w:ilvl w:val="2"/>
                <w:numId w:val="0"/>
              </w:numPr>
              <w:tabs>
                <w:tab w:val="num" w:pos="720"/>
              </w:tabs>
              <w:suppressAutoHyphens/>
              <w:spacing w:before="0" w:after="0"/>
              <w:ind w:left="720" w:hanging="720"/>
              <w:rPr>
                <w:szCs w:val="24"/>
                <w:lang w:val="ro-RO"/>
              </w:rPr>
            </w:pPr>
            <w:r w:rsidRPr="00ED2F87">
              <w:rPr>
                <w:szCs w:val="24"/>
                <w:lang w:val="ro-RO"/>
              </w:rPr>
              <w:t>20</w:t>
            </w:r>
            <w:r w:rsidR="00763370" w:rsidRPr="00ED2F87">
              <w:rPr>
                <w:szCs w:val="24"/>
                <w:lang w:val="ro-RO"/>
              </w:rPr>
              <w:t>20</w:t>
            </w:r>
          </w:p>
        </w:tc>
        <w:tc>
          <w:tcPr>
            <w:tcW w:w="709" w:type="dxa"/>
            <w:tcBorders>
              <w:top w:val="single" w:sz="4" w:space="0" w:color="000000"/>
              <w:left w:val="single" w:sz="4" w:space="0" w:color="000000"/>
              <w:bottom w:val="single" w:sz="4" w:space="0" w:color="000000"/>
            </w:tcBorders>
            <w:vAlign w:val="center"/>
          </w:tcPr>
          <w:p w:rsidR="005A0798" w:rsidRPr="00ED2F87" w:rsidRDefault="005A0798" w:rsidP="003364FA">
            <w:pPr>
              <w:pStyle w:val="Heading3"/>
              <w:numPr>
                <w:ilvl w:val="2"/>
                <w:numId w:val="0"/>
              </w:numPr>
              <w:tabs>
                <w:tab w:val="num" w:pos="720"/>
              </w:tabs>
              <w:suppressAutoHyphens/>
              <w:spacing w:before="0" w:after="0"/>
              <w:ind w:left="720" w:hanging="720"/>
              <w:rPr>
                <w:szCs w:val="24"/>
                <w:lang w:val="ro-RO"/>
              </w:rPr>
            </w:pPr>
            <w:r w:rsidRPr="00ED2F87">
              <w:rPr>
                <w:szCs w:val="24"/>
                <w:lang w:val="ro-RO"/>
              </w:rPr>
              <w:t>202</w:t>
            </w:r>
            <w:r w:rsidR="00763370" w:rsidRPr="00ED2F87">
              <w:rPr>
                <w:szCs w:val="24"/>
                <w:lang w:val="ro-RO"/>
              </w:rPr>
              <w:t>1</w:t>
            </w:r>
          </w:p>
        </w:tc>
        <w:tc>
          <w:tcPr>
            <w:tcW w:w="992" w:type="dxa"/>
            <w:tcBorders>
              <w:top w:val="single" w:sz="4" w:space="0" w:color="000000"/>
              <w:left w:val="single" w:sz="4" w:space="0" w:color="000000"/>
              <w:bottom w:val="single" w:sz="4" w:space="0" w:color="000000"/>
            </w:tcBorders>
            <w:vAlign w:val="center"/>
          </w:tcPr>
          <w:p w:rsidR="005A0798" w:rsidRPr="00ED2F87" w:rsidRDefault="005A0798" w:rsidP="003364FA">
            <w:pPr>
              <w:pStyle w:val="Heading3"/>
              <w:numPr>
                <w:ilvl w:val="2"/>
                <w:numId w:val="0"/>
              </w:numPr>
              <w:tabs>
                <w:tab w:val="num" w:pos="720"/>
              </w:tabs>
              <w:suppressAutoHyphens/>
              <w:spacing w:before="0" w:after="0"/>
              <w:ind w:left="720" w:hanging="720"/>
              <w:rPr>
                <w:szCs w:val="24"/>
                <w:lang w:val="ro-RO"/>
              </w:rPr>
            </w:pPr>
            <w:r w:rsidRPr="00ED2F87">
              <w:rPr>
                <w:szCs w:val="24"/>
                <w:lang w:val="ro-RO"/>
              </w:rPr>
              <w:t>202</w:t>
            </w:r>
            <w:r w:rsidR="00763370" w:rsidRPr="00ED2F87">
              <w:rPr>
                <w:szCs w:val="24"/>
                <w:lang w:val="ro-RO"/>
              </w:rPr>
              <w:t>2</w:t>
            </w:r>
          </w:p>
        </w:tc>
        <w:tc>
          <w:tcPr>
            <w:tcW w:w="850" w:type="dxa"/>
            <w:vMerge/>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pPr>
              <w:pStyle w:val="Heading3"/>
              <w:numPr>
                <w:ilvl w:val="2"/>
                <w:numId w:val="0"/>
              </w:numPr>
              <w:tabs>
                <w:tab w:val="num" w:pos="720"/>
              </w:tabs>
              <w:suppressAutoHyphens/>
              <w:snapToGrid w:val="0"/>
              <w:spacing w:before="0" w:after="0"/>
              <w:ind w:left="720" w:hanging="720"/>
              <w:rPr>
                <w:szCs w:val="24"/>
                <w:lang w:val="ro-RO"/>
              </w:rPr>
            </w:pP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
              </w:rPr>
            </w:pPr>
            <w:r w:rsidRPr="00ED2F87">
              <w:rPr>
                <w:b/>
              </w:rPr>
              <w:t>Modificări ale veniturilor bugetare, plus/minus, din care:</w:t>
            </w:r>
          </w:p>
          <w:p w:rsidR="005A0798" w:rsidRPr="00ED2F87" w:rsidRDefault="005A0798" w:rsidP="00CD48EF">
            <w:pPr>
              <w:pStyle w:val="BodyText"/>
              <w:numPr>
                <w:ilvl w:val="0"/>
                <w:numId w:val="2"/>
              </w:numPr>
              <w:ind w:left="0" w:firstLine="0"/>
              <w:jc w:val="left"/>
              <w:rPr>
                <w:rFonts w:ascii="Times New Roman" w:hAnsi="Times New Roman"/>
                <w:b/>
                <w:szCs w:val="24"/>
              </w:rPr>
            </w:pPr>
            <w:r w:rsidRPr="00ED2F87">
              <w:rPr>
                <w:rFonts w:ascii="Times New Roman" w:hAnsi="Times New Roman"/>
                <w:b/>
                <w:szCs w:val="24"/>
              </w:rPr>
              <w:t>buget de stat, din acesta:</w:t>
            </w:r>
          </w:p>
          <w:p w:rsidR="005A0798" w:rsidRPr="00ED2F87" w:rsidRDefault="005A0798" w:rsidP="00CD48EF">
            <w:pPr>
              <w:pStyle w:val="BodyText"/>
              <w:numPr>
                <w:ilvl w:val="0"/>
                <w:numId w:val="3"/>
              </w:numPr>
              <w:jc w:val="left"/>
              <w:rPr>
                <w:rFonts w:ascii="Times New Roman" w:hAnsi="Times New Roman"/>
                <w:b/>
                <w:szCs w:val="24"/>
              </w:rPr>
            </w:pPr>
            <w:r w:rsidRPr="00ED2F87">
              <w:rPr>
                <w:rFonts w:ascii="Times New Roman" w:hAnsi="Times New Roman"/>
                <w:b/>
                <w:szCs w:val="24"/>
              </w:rPr>
              <w:t>impozit pe profit;</w:t>
            </w:r>
          </w:p>
          <w:p w:rsidR="005A0798" w:rsidRPr="00ED2F87" w:rsidRDefault="005A0798" w:rsidP="00CD48EF">
            <w:pPr>
              <w:pStyle w:val="BodyText"/>
              <w:numPr>
                <w:ilvl w:val="0"/>
                <w:numId w:val="3"/>
              </w:numPr>
              <w:jc w:val="left"/>
              <w:rPr>
                <w:rFonts w:ascii="Times New Roman" w:hAnsi="Times New Roman"/>
                <w:b/>
                <w:szCs w:val="24"/>
              </w:rPr>
            </w:pPr>
            <w:r w:rsidRPr="00ED2F87">
              <w:rPr>
                <w:rFonts w:ascii="Times New Roman" w:hAnsi="Times New Roman"/>
                <w:b/>
                <w:szCs w:val="24"/>
              </w:rPr>
              <w:t>impozit pe venit.</w:t>
            </w:r>
          </w:p>
          <w:p w:rsidR="005A0798" w:rsidRPr="00ED2F87" w:rsidRDefault="005A0798" w:rsidP="00CD48EF">
            <w:pPr>
              <w:pStyle w:val="BodyText"/>
              <w:numPr>
                <w:ilvl w:val="0"/>
                <w:numId w:val="2"/>
              </w:numPr>
              <w:ind w:left="0" w:firstLine="0"/>
              <w:jc w:val="left"/>
              <w:rPr>
                <w:rFonts w:ascii="Times New Roman" w:hAnsi="Times New Roman"/>
                <w:b/>
                <w:szCs w:val="24"/>
              </w:rPr>
            </w:pPr>
            <w:r w:rsidRPr="00ED2F87">
              <w:rPr>
                <w:rFonts w:ascii="Times New Roman" w:hAnsi="Times New Roman"/>
                <w:b/>
                <w:szCs w:val="24"/>
              </w:rPr>
              <w:t>bugete locale:</w:t>
            </w:r>
          </w:p>
          <w:p w:rsidR="005A0798" w:rsidRPr="00ED2F87" w:rsidRDefault="005A0798" w:rsidP="00CD48EF">
            <w:pPr>
              <w:pStyle w:val="BodyText"/>
              <w:numPr>
                <w:ilvl w:val="0"/>
                <w:numId w:val="10"/>
              </w:numPr>
              <w:jc w:val="left"/>
              <w:rPr>
                <w:rFonts w:ascii="Times New Roman" w:hAnsi="Times New Roman"/>
                <w:b/>
                <w:szCs w:val="24"/>
              </w:rPr>
            </w:pPr>
            <w:r w:rsidRPr="00ED2F87">
              <w:rPr>
                <w:rFonts w:ascii="Times New Roman" w:hAnsi="Times New Roman"/>
                <w:b/>
                <w:szCs w:val="24"/>
              </w:rPr>
              <w:t>impozit pe profit;</w:t>
            </w:r>
          </w:p>
          <w:p w:rsidR="005A0798" w:rsidRPr="00ED2F87" w:rsidRDefault="005A0798" w:rsidP="00CD48EF">
            <w:pPr>
              <w:pStyle w:val="BodyText"/>
              <w:numPr>
                <w:ilvl w:val="0"/>
                <w:numId w:val="2"/>
              </w:numPr>
              <w:ind w:left="0" w:firstLine="0"/>
              <w:jc w:val="left"/>
              <w:rPr>
                <w:rFonts w:ascii="Times New Roman" w:hAnsi="Times New Roman"/>
                <w:b/>
                <w:szCs w:val="24"/>
              </w:rPr>
            </w:pPr>
            <w:r w:rsidRPr="00ED2F87">
              <w:rPr>
                <w:rFonts w:ascii="Times New Roman" w:hAnsi="Times New Roman"/>
                <w:b/>
                <w:szCs w:val="24"/>
              </w:rPr>
              <w:t>bugetul asigurărilor sociale de stat, din acestea:</w:t>
            </w:r>
          </w:p>
          <w:p w:rsidR="005A0798" w:rsidRPr="00ED2F87" w:rsidRDefault="005A0798" w:rsidP="00CD48EF">
            <w:pPr>
              <w:pStyle w:val="BodyText"/>
              <w:numPr>
                <w:ilvl w:val="0"/>
                <w:numId w:val="11"/>
              </w:numPr>
              <w:jc w:val="left"/>
              <w:rPr>
                <w:rFonts w:ascii="Times New Roman" w:hAnsi="Times New Roman"/>
                <w:bCs/>
                <w:szCs w:val="24"/>
              </w:rPr>
            </w:pPr>
            <w:r w:rsidRPr="00ED2F87">
              <w:rPr>
                <w:rFonts w:ascii="Times New Roman" w:hAnsi="Times New Roman"/>
                <w:b/>
                <w:szCs w:val="24"/>
              </w:rPr>
              <w:t>contribu</w:t>
            </w:r>
            <w:r w:rsidR="00B373D3" w:rsidRPr="00ED2F87">
              <w:rPr>
                <w:rFonts w:ascii="Times New Roman" w:hAnsi="Times New Roman"/>
                <w:b/>
                <w:szCs w:val="24"/>
              </w:rPr>
              <w:t>ț</w:t>
            </w:r>
            <w:r w:rsidRPr="00ED2F87">
              <w:rPr>
                <w:rFonts w:ascii="Times New Roman" w:hAnsi="Times New Roman"/>
                <w:b/>
                <w:szCs w:val="24"/>
              </w:rPr>
              <w:t>ii de asigurări</w:t>
            </w:r>
          </w:p>
        </w:tc>
        <w:tc>
          <w:tcPr>
            <w:tcW w:w="255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Cs/>
              </w:rPr>
            </w:pPr>
          </w:p>
        </w:tc>
        <w:tc>
          <w:tcPr>
            <w:tcW w:w="850" w:type="dxa"/>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center"/>
              <w:rPr>
                <w:b/>
                <w:bCs/>
              </w:rPr>
            </w:pPr>
          </w:p>
        </w:tc>
      </w:tr>
      <w:tr w:rsidR="005A0798" w:rsidRPr="00ED2F87" w:rsidTr="00CF19DB">
        <w:trPr>
          <w:trHeight w:val="62"/>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
              </w:rPr>
            </w:pPr>
            <w:r w:rsidRPr="00ED2F87">
              <w:rPr>
                <w:b/>
              </w:rPr>
              <w:t>Modificări ale cheltuielilor bugetare, plus/minus, din care:</w:t>
            </w:r>
          </w:p>
          <w:p w:rsidR="005A0798" w:rsidRPr="00ED2F87" w:rsidRDefault="005A0798" w:rsidP="00CD48EF">
            <w:pPr>
              <w:pStyle w:val="BodyText"/>
              <w:numPr>
                <w:ilvl w:val="0"/>
                <w:numId w:val="4"/>
              </w:numPr>
              <w:jc w:val="left"/>
              <w:rPr>
                <w:rFonts w:ascii="Times New Roman" w:hAnsi="Times New Roman"/>
                <w:b/>
                <w:szCs w:val="24"/>
              </w:rPr>
            </w:pPr>
            <w:r w:rsidRPr="00ED2F87">
              <w:rPr>
                <w:rFonts w:ascii="Times New Roman" w:hAnsi="Times New Roman"/>
                <w:b/>
                <w:szCs w:val="24"/>
              </w:rPr>
              <w:t>buget de stat, din acesta:</w:t>
            </w:r>
          </w:p>
          <w:p w:rsidR="005A0798" w:rsidRPr="00ED2F87" w:rsidRDefault="005A0798" w:rsidP="00CD48EF">
            <w:pPr>
              <w:pStyle w:val="BodyText"/>
              <w:numPr>
                <w:ilvl w:val="0"/>
                <w:numId w:val="5"/>
              </w:numPr>
              <w:jc w:val="left"/>
              <w:rPr>
                <w:rFonts w:ascii="Times New Roman" w:hAnsi="Times New Roman"/>
                <w:b/>
                <w:szCs w:val="24"/>
              </w:rPr>
            </w:pPr>
            <w:r w:rsidRPr="00ED2F87">
              <w:rPr>
                <w:rFonts w:ascii="Times New Roman" w:hAnsi="Times New Roman"/>
                <w:b/>
                <w:szCs w:val="24"/>
              </w:rPr>
              <w:t>cheltuieli de personal</w:t>
            </w:r>
          </w:p>
          <w:p w:rsidR="005A0798" w:rsidRPr="00ED2F87" w:rsidRDefault="005A0798" w:rsidP="00CD48EF">
            <w:pPr>
              <w:pStyle w:val="BodyText"/>
              <w:numPr>
                <w:ilvl w:val="0"/>
                <w:numId w:val="5"/>
              </w:numPr>
              <w:jc w:val="left"/>
              <w:rPr>
                <w:rFonts w:ascii="Times New Roman" w:hAnsi="Times New Roman"/>
                <w:b/>
                <w:szCs w:val="24"/>
              </w:rPr>
            </w:pPr>
            <w:r w:rsidRPr="00ED2F87">
              <w:rPr>
                <w:rFonts w:ascii="Times New Roman" w:hAnsi="Times New Roman"/>
                <w:b/>
                <w:szCs w:val="24"/>
              </w:rPr>
              <w:t xml:space="preserve">bunuri </w:t>
            </w:r>
            <w:r w:rsidR="00B373D3" w:rsidRPr="00ED2F87">
              <w:rPr>
                <w:rFonts w:ascii="Times New Roman" w:hAnsi="Times New Roman"/>
                <w:b/>
                <w:szCs w:val="24"/>
              </w:rPr>
              <w:t>ș</w:t>
            </w:r>
            <w:r w:rsidRPr="00ED2F87">
              <w:rPr>
                <w:rFonts w:ascii="Times New Roman" w:hAnsi="Times New Roman"/>
                <w:b/>
                <w:szCs w:val="24"/>
              </w:rPr>
              <w:t>i servicii</w:t>
            </w:r>
          </w:p>
          <w:p w:rsidR="005A0798" w:rsidRPr="00ED2F87" w:rsidRDefault="005A0798" w:rsidP="00CD48EF">
            <w:pPr>
              <w:pStyle w:val="BodyText"/>
              <w:numPr>
                <w:ilvl w:val="0"/>
                <w:numId w:val="4"/>
              </w:numPr>
              <w:jc w:val="left"/>
              <w:rPr>
                <w:rFonts w:ascii="Times New Roman" w:hAnsi="Times New Roman"/>
                <w:b/>
                <w:szCs w:val="24"/>
              </w:rPr>
            </w:pPr>
            <w:r w:rsidRPr="00ED2F87">
              <w:rPr>
                <w:rFonts w:ascii="Times New Roman" w:hAnsi="Times New Roman"/>
                <w:b/>
                <w:szCs w:val="24"/>
              </w:rPr>
              <w:t>bugete locale:</w:t>
            </w:r>
          </w:p>
          <w:p w:rsidR="005A0798" w:rsidRPr="00ED2F87" w:rsidRDefault="005A0798" w:rsidP="00CD48EF">
            <w:pPr>
              <w:pStyle w:val="BodyText"/>
              <w:numPr>
                <w:ilvl w:val="0"/>
                <w:numId w:val="6"/>
              </w:numPr>
              <w:jc w:val="left"/>
              <w:rPr>
                <w:rFonts w:ascii="Times New Roman" w:hAnsi="Times New Roman"/>
                <w:b/>
                <w:szCs w:val="24"/>
              </w:rPr>
            </w:pPr>
            <w:r w:rsidRPr="00ED2F87">
              <w:rPr>
                <w:rFonts w:ascii="Times New Roman" w:hAnsi="Times New Roman"/>
                <w:b/>
                <w:szCs w:val="24"/>
              </w:rPr>
              <w:t>cheltuieli de personal</w:t>
            </w:r>
          </w:p>
          <w:p w:rsidR="005A0798" w:rsidRPr="00ED2F87" w:rsidRDefault="005A0798" w:rsidP="00CD48EF">
            <w:pPr>
              <w:pStyle w:val="BodyText"/>
              <w:numPr>
                <w:ilvl w:val="0"/>
                <w:numId w:val="6"/>
              </w:numPr>
              <w:jc w:val="left"/>
              <w:rPr>
                <w:rFonts w:ascii="Times New Roman" w:hAnsi="Times New Roman"/>
                <w:b/>
                <w:szCs w:val="24"/>
              </w:rPr>
            </w:pPr>
            <w:r w:rsidRPr="00ED2F87">
              <w:rPr>
                <w:rFonts w:ascii="Times New Roman" w:hAnsi="Times New Roman"/>
                <w:b/>
                <w:szCs w:val="24"/>
              </w:rPr>
              <w:t xml:space="preserve">bunuri </w:t>
            </w:r>
            <w:r w:rsidR="00B373D3" w:rsidRPr="00ED2F87">
              <w:rPr>
                <w:rFonts w:ascii="Times New Roman" w:hAnsi="Times New Roman"/>
                <w:b/>
                <w:szCs w:val="24"/>
              </w:rPr>
              <w:t>ș</w:t>
            </w:r>
            <w:r w:rsidRPr="00ED2F87">
              <w:rPr>
                <w:rFonts w:ascii="Times New Roman" w:hAnsi="Times New Roman"/>
                <w:b/>
                <w:szCs w:val="24"/>
              </w:rPr>
              <w:t>i servicii</w:t>
            </w:r>
          </w:p>
          <w:p w:rsidR="005A0798" w:rsidRPr="00ED2F87" w:rsidRDefault="005A0798" w:rsidP="00CD48EF">
            <w:pPr>
              <w:pStyle w:val="BodyText"/>
              <w:numPr>
                <w:ilvl w:val="0"/>
                <w:numId w:val="4"/>
              </w:numPr>
              <w:jc w:val="left"/>
              <w:rPr>
                <w:rFonts w:ascii="Times New Roman" w:hAnsi="Times New Roman"/>
                <w:b/>
                <w:szCs w:val="24"/>
              </w:rPr>
            </w:pPr>
            <w:r w:rsidRPr="00ED2F87">
              <w:rPr>
                <w:rFonts w:ascii="Times New Roman" w:hAnsi="Times New Roman"/>
                <w:b/>
                <w:szCs w:val="24"/>
              </w:rPr>
              <w:t>bugetul asigurărilor sociale de stat:</w:t>
            </w:r>
          </w:p>
          <w:p w:rsidR="005A0798" w:rsidRPr="00ED2F87" w:rsidRDefault="005A0798" w:rsidP="00CD48EF">
            <w:pPr>
              <w:pStyle w:val="BodyText"/>
              <w:numPr>
                <w:ilvl w:val="0"/>
                <w:numId w:val="7"/>
              </w:numPr>
              <w:jc w:val="left"/>
              <w:rPr>
                <w:rFonts w:ascii="Times New Roman" w:hAnsi="Times New Roman"/>
                <w:b/>
                <w:szCs w:val="24"/>
              </w:rPr>
            </w:pPr>
            <w:r w:rsidRPr="00ED2F87">
              <w:rPr>
                <w:rFonts w:ascii="Times New Roman" w:hAnsi="Times New Roman"/>
                <w:b/>
                <w:szCs w:val="24"/>
              </w:rPr>
              <w:t>cheltuieli de personal</w:t>
            </w:r>
          </w:p>
          <w:p w:rsidR="005A0798" w:rsidRPr="00ED2F87" w:rsidRDefault="005A0798" w:rsidP="00CD48EF">
            <w:pPr>
              <w:pStyle w:val="BodyText"/>
              <w:numPr>
                <w:ilvl w:val="0"/>
                <w:numId w:val="7"/>
              </w:numPr>
              <w:jc w:val="left"/>
              <w:rPr>
                <w:rFonts w:ascii="Times New Roman" w:hAnsi="Times New Roman"/>
                <w:szCs w:val="24"/>
              </w:rPr>
            </w:pPr>
            <w:r w:rsidRPr="00ED2F87">
              <w:rPr>
                <w:rFonts w:ascii="Times New Roman" w:hAnsi="Times New Roman"/>
                <w:b/>
                <w:szCs w:val="24"/>
              </w:rPr>
              <w:t xml:space="preserve">bunuri </w:t>
            </w:r>
            <w:r w:rsidR="00B373D3" w:rsidRPr="00ED2F87">
              <w:rPr>
                <w:rFonts w:ascii="Times New Roman" w:hAnsi="Times New Roman"/>
                <w:b/>
                <w:szCs w:val="24"/>
              </w:rPr>
              <w:t>ș</w:t>
            </w:r>
            <w:r w:rsidRPr="00ED2F87">
              <w:rPr>
                <w:rFonts w:ascii="Times New Roman" w:hAnsi="Times New Roman"/>
                <w:b/>
                <w:szCs w:val="24"/>
              </w:rPr>
              <w:t>i servicii</w:t>
            </w:r>
          </w:p>
        </w:tc>
        <w:tc>
          <w:tcPr>
            <w:tcW w:w="255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pPr>
          </w:p>
        </w:tc>
      </w:tr>
      <w:tr w:rsidR="005A0798" w:rsidRPr="00ED2F87" w:rsidTr="00CF19DB">
        <w:trPr>
          <w:trHeight w:val="847"/>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
              </w:rPr>
            </w:pPr>
            <w:r w:rsidRPr="00ED2F87">
              <w:rPr>
                <w:b/>
              </w:rPr>
              <w:t>Impact financiar, plus/minus, din care:</w:t>
            </w:r>
          </w:p>
          <w:p w:rsidR="005A0798" w:rsidRPr="00ED2F87" w:rsidRDefault="005A0798" w:rsidP="00CD48EF">
            <w:pPr>
              <w:pStyle w:val="BodyText"/>
              <w:numPr>
                <w:ilvl w:val="0"/>
                <w:numId w:val="8"/>
              </w:numPr>
              <w:jc w:val="left"/>
              <w:rPr>
                <w:rFonts w:ascii="Times New Roman" w:hAnsi="Times New Roman"/>
                <w:b/>
                <w:szCs w:val="24"/>
              </w:rPr>
            </w:pPr>
            <w:r w:rsidRPr="00ED2F87">
              <w:rPr>
                <w:rFonts w:ascii="Times New Roman" w:hAnsi="Times New Roman"/>
                <w:b/>
                <w:szCs w:val="24"/>
              </w:rPr>
              <w:t>buget de stat</w:t>
            </w:r>
          </w:p>
          <w:p w:rsidR="005A0798" w:rsidRPr="00ED2F87" w:rsidRDefault="005A0798" w:rsidP="00CD48EF">
            <w:pPr>
              <w:pStyle w:val="BodyText"/>
              <w:numPr>
                <w:ilvl w:val="0"/>
                <w:numId w:val="8"/>
              </w:numPr>
              <w:jc w:val="left"/>
              <w:rPr>
                <w:rFonts w:ascii="Times New Roman" w:hAnsi="Times New Roman"/>
                <w:szCs w:val="24"/>
              </w:rPr>
            </w:pPr>
            <w:r w:rsidRPr="00ED2F87">
              <w:rPr>
                <w:rFonts w:ascii="Times New Roman" w:hAnsi="Times New Roman"/>
                <w:b/>
                <w:szCs w:val="24"/>
              </w:rPr>
              <w:t>bugete locale</w:t>
            </w:r>
          </w:p>
        </w:tc>
        <w:tc>
          <w:tcPr>
            <w:tcW w:w="255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pPr>
          </w:p>
        </w:tc>
        <w:tc>
          <w:tcPr>
            <w:tcW w:w="850" w:type="dxa"/>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pPr>
          </w:p>
        </w:tc>
      </w:tr>
      <w:tr w:rsidR="005A0798" w:rsidRPr="00ED2F87" w:rsidTr="00CF19DB">
        <w:trPr>
          <w:trHeight w:val="604"/>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
                <w:bCs/>
              </w:rPr>
            </w:pPr>
            <w:r w:rsidRPr="00ED2F87">
              <w:rPr>
                <w:b/>
              </w:rPr>
              <w:t>Propuneri pentru acoperirea cre</w:t>
            </w:r>
            <w:r w:rsidR="00B373D3" w:rsidRPr="00ED2F87">
              <w:rPr>
                <w:b/>
              </w:rPr>
              <w:t>ș</w:t>
            </w:r>
            <w:r w:rsidRPr="00ED2F87">
              <w:rPr>
                <w:b/>
              </w:rPr>
              <w:t>terii cheltuielilor bugetare</w:t>
            </w:r>
          </w:p>
        </w:tc>
        <w:tc>
          <w:tcPr>
            <w:tcW w:w="255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850" w:type="dxa"/>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center"/>
              <w:rPr>
                <w:b/>
                <w:bCs/>
              </w:rPr>
            </w:pP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
                <w:bCs/>
              </w:rPr>
            </w:pPr>
            <w:r w:rsidRPr="00ED2F87">
              <w:rPr>
                <w:b/>
              </w:rPr>
              <w:t>Propuneri pentru a compensa reducerea veniturilor bugetare</w:t>
            </w:r>
          </w:p>
        </w:tc>
        <w:tc>
          <w:tcPr>
            <w:tcW w:w="2552" w:type="dxa"/>
            <w:tcBorders>
              <w:top w:val="single" w:sz="4" w:space="0" w:color="000000"/>
              <w:left w:val="single" w:sz="4" w:space="0" w:color="000000"/>
              <w:bottom w:val="single" w:sz="4" w:space="0" w:color="000000"/>
            </w:tcBorders>
          </w:tcPr>
          <w:p w:rsidR="005A0798" w:rsidRPr="00ED2F87" w:rsidRDefault="005A0798" w:rsidP="00795F2A">
            <w:pPr>
              <w:rPr>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850" w:type="dxa"/>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center"/>
              <w:rPr>
                <w:b/>
                <w:bCs/>
              </w:rPr>
            </w:pPr>
          </w:p>
        </w:tc>
      </w:tr>
      <w:tr w:rsidR="005A0798" w:rsidRPr="00ED2F87" w:rsidTr="00CF19DB">
        <w:trPr>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
                <w:bCs/>
              </w:rPr>
            </w:pPr>
            <w:r w:rsidRPr="00ED2F87">
              <w:rPr>
                <w:b/>
              </w:rPr>
              <w:lastRenderedPageBreak/>
              <w:t xml:space="preserve">Calcule detaliate privind fundamentarea modificărilor veniturilor </w:t>
            </w:r>
            <w:r w:rsidR="00B373D3" w:rsidRPr="00ED2F87">
              <w:rPr>
                <w:b/>
              </w:rPr>
              <w:t>ș</w:t>
            </w:r>
            <w:r w:rsidRPr="00ED2F87">
              <w:rPr>
                <w:b/>
              </w:rPr>
              <w:t xml:space="preserve">i/sau cheltuielilor bugetare </w:t>
            </w:r>
          </w:p>
        </w:tc>
        <w:tc>
          <w:tcPr>
            <w:tcW w:w="255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709"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992" w:type="dxa"/>
            <w:tcBorders>
              <w:top w:val="single" w:sz="4" w:space="0" w:color="000000"/>
              <w:left w:val="single" w:sz="4" w:space="0" w:color="000000"/>
              <w:bottom w:val="single" w:sz="4" w:space="0" w:color="000000"/>
            </w:tcBorders>
          </w:tcPr>
          <w:p w:rsidR="005A0798" w:rsidRPr="00ED2F87" w:rsidRDefault="005A0798" w:rsidP="00795F2A">
            <w:pPr>
              <w:snapToGrid w:val="0"/>
              <w:jc w:val="center"/>
              <w:rPr>
                <w:b/>
                <w:bCs/>
              </w:rPr>
            </w:pPr>
          </w:p>
        </w:tc>
        <w:tc>
          <w:tcPr>
            <w:tcW w:w="850" w:type="dxa"/>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center"/>
              <w:rPr>
                <w:b/>
                <w:bCs/>
              </w:rPr>
            </w:pPr>
          </w:p>
        </w:tc>
      </w:tr>
      <w:tr w:rsidR="005A0798" w:rsidRPr="00ED2F87" w:rsidTr="00CF19DB">
        <w:trPr>
          <w:trHeight w:val="332"/>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5"/>
              </w:numPr>
              <w:ind w:left="0" w:firstLine="0"/>
              <w:jc w:val="both"/>
              <w:rPr>
                <w:bCs/>
              </w:rPr>
            </w:pPr>
            <w:r w:rsidRPr="00ED2F87">
              <w:rPr>
                <w:b/>
              </w:rPr>
              <w:t>Alte informa</w:t>
            </w:r>
            <w:r w:rsidR="00B373D3" w:rsidRPr="00ED2F87">
              <w:rPr>
                <w:b/>
              </w:rPr>
              <w:t>ț</w:t>
            </w:r>
            <w:r w:rsidRPr="00ED2F87">
              <w:rPr>
                <w:b/>
              </w:rPr>
              <w:t>ii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both"/>
              <w:rPr>
                <w:bCs/>
              </w:rPr>
            </w:pPr>
            <w:r w:rsidRPr="00ED2F87">
              <w:rPr>
                <w:bCs/>
              </w:rPr>
              <w:t>Nu au fost identificate</w:t>
            </w:r>
          </w:p>
        </w:tc>
      </w:tr>
      <w:tr w:rsidR="005A0798" w:rsidRPr="00ED2F87" w:rsidTr="00CF19DB">
        <w:trPr>
          <w:trHeight w:val="444"/>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snapToGrid w:val="0"/>
              <w:jc w:val="both"/>
              <w:rPr>
                <w:b/>
                <w:bCs/>
              </w:rPr>
            </w:pPr>
            <w:r w:rsidRPr="00ED2F87">
              <w:rPr>
                <w:b/>
                <w:bCs/>
              </w:rPr>
              <w:t>Sec</w:t>
            </w:r>
            <w:r w:rsidR="00B373D3" w:rsidRPr="00ED2F87">
              <w:rPr>
                <w:b/>
                <w:bCs/>
              </w:rPr>
              <w:t>ț</w:t>
            </w:r>
            <w:r w:rsidRPr="00ED2F87">
              <w:rPr>
                <w:b/>
                <w:bCs/>
              </w:rPr>
              <w:t>iunea a 5-a</w:t>
            </w:r>
          </w:p>
          <w:p w:rsidR="00ED2F87" w:rsidRPr="00ED2F87" w:rsidRDefault="005A0798" w:rsidP="00CF19DB">
            <w:pPr>
              <w:snapToGrid w:val="0"/>
              <w:jc w:val="both"/>
              <w:rPr>
                <w:b/>
                <w:bCs/>
              </w:rPr>
            </w:pPr>
            <w:r w:rsidRPr="00ED2F87">
              <w:rPr>
                <w:b/>
                <w:bCs/>
              </w:rPr>
              <w:t>Efectele proiectului de act normativ asupra legisla</w:t>
            </w:r>
            <w:r w:rsidR="00B373D3" w:rsidRPr="00ED2F87">
              <w:rPr>
                <w:b/>
                <w:bCs/>
              </w:rPr>
              <w:t>ț</w:t>
            </w:r>
            <w:r w:rsidRPr="00ED2F87">
              <w:rPr>
                <w:b/>
                <w:bCs/>
              </w:rPr>
              <w:t>iei în vigoare</w:t>
            </w:r>
          </w:p>
        </w:tc>
      </w:tr>
      <w:tr w:rsidR="005A0798" w:rsidRPr="00ED2F87" w:rsidTr="00CF19DB">
        <w:trPr>
          <w:trHeight w:val="2047"/>
        </w:trPr>
        <w:tc>
          <w:tcPr>
            <w:tcW w:w="3289" w:type="dxa"/>
            <w:tcBorders>
              <w:top w:val="single" w:sz="4" w:space="0" w:color="000000"/>
              <w:left w:val="single" w:sz="4" w:space="0" w:color="000000"/>
              <w:bottom w:val="single" w:sz="4" w:space="0" w:color="000000"/>
              <w:right w:val="single" w:sz="4" w:space="0" w:color="000000"/>
            </w:tcBorders>
          </w:tcPr>
          <w:p w:rsidR="005A0798" w:rsidRPr="00ED2F87" w:rsidRDefault="005A0798" w:rsidP="00CD48EF">
            <w:pPr>
              <w:numPr>
                <w:ilvl w:val="0"/>
                <w:numId w:val="16"/>
              </w:numPr>
              <w:ind w:left="0" w:firstLine="0"/>
              <w:jc w:val="both"/>
              <w:rPr>
                <w:b/>
              </w:rPr>
            </w:pPr>
            <w:r w:rsidRPr="00ED2F87">
              <w:rPr>
                <w:b/>
              </w:rPr>
              <w:t>Măsuri normative necesare pentru aplicarea prevederilor proiectului de act normativ:</w:t>
            </w:r>
          </w:p>
          <w:p w:rsidR="005A0798" w:rsidRPr="00ED2F87" w:rsidRDefault="005A0798" w:rsidP="00CD48EF">
            <w:pPr>
              <w:pStyle w:val="BodyText"/>
              <w:numPr>
                <w:ilvl w:val="0"/>
                <w:numId w:val="9"/>
              </w:numPr>
              <w:ind w:left="0" w:firstLine="0"/>
              <w:rPr>
                <w:rFonts w:ascii="Times New Roman" w:hAnsi="Times New Roman"/>
                <w:b/>
                <w:szCs w:val="24"/>
              </w:rPr>
            </w:pPr>
            <w:r w:rsidRPr="00ED2F87">
              <w:rPr>
                <w:rFonts w:ascii="Times New Roman" w:hAnsi="Times New Roman"/>
                <w:b/>
                <w:szCs w:val="24"/>
              </w:rPr>
              <w:t>acte normative în vigoare ce vor fi modificate sau abrogate, ca urmare a intrării în vigoare a proiectului de act normativ;</w:t>
            </w:r>
          </w:p>
          <w:p w:rsidR="00F60286" w:rsidRPr="00ED2F87" w:rsidRDefault="00F60286" w:rsidP="006E0903">
            <w:pPr>
              <w:pStyle w:val="BodyText"/>
              <w:rPr>
                <w:rFonts w:ascii="Times New Roman" w:hAnsi="Times New Roman"/>
                <w:b/>
                <w:szCs w:val="24"/>
              </w:rPr>
            </w:pPr>
          </w:p>
          <w:p w:rsidR="005A0798" w:rsidRPr="00ED2F87" w:rsidRDefault="005A0798" w:rsidP="00CD48EF">
            <w:pPr>
              <w:pStyle w:val="BodyText"/>
              <w:numPr>
                <w:ilvl w:val="0"/>
                <w:numId w:val="9"/>
              </w:numPr>
              <w:ind w:left="0" w:firstLine="0"/>
              <w:rPr>
                <w:rFonts w:ascii="Times New Roman" w:hAnsi="Times New Roman"/>
                <w:szCs w:val="24"/>
              </w:rPr>
            </w:pPr>
            <w:r w:rsidRPr="00ED2F87">
              <w:rPr>
                <w:rFonts w:ascii="Times New Roman" w:hAnsi="Times New Roman"/>
                <w:b/>
                <w:szCs w:val="24"/>
              </w:rPr>
              <w:t>acte normative ce urmează a fi elaborate în vederea implementării noilor dispozi</w:t>
            </w:r>
            <w:r w:rsidR="00792D25" w:rsidRPr="00ED2F87">
              <w:rPr>
                <w:rFonts w:ascii="Times New Roman" w:hAnsi="Times New Roman"/>
                <w:b/>
                <w:szCs w:val="24"/>
              </w:rPr>
              <w:t>ț</w:t>
            </w:r>
            <w:r w:rsidRPr="00ED2F87">
              <w:rPr>
                <w:rFonts w:ascii="Times New Roman" w:hAnsi="Times New Roman"/>
                <w:b/>
                <w:szCs w:val="24"/>
              </w:rPr>
              <w:t>ii.</w:t>
            </w:r>
          </w:p>
        </w:tc>
        <w:tc>
          <w:tcPr>
            <w:tcW w:w="6804" w:type="dxa"/>
            <w:gridSpan w:val="6"/>
            <w:tcBorders>
              <w:top w:val="single" w:sz="4" w:space="0" w:color="000000"/>
              <w:left w:val="single" w:sz="4" w:space="0" w:color="000000"/>
              <w:bottom w:val="single" w:sz="4" w:space="0" w:color="000000"/>
              <w:right w:val="single" w:sz="4" w:space="0" w:color="000000"/>
            </w:tcBorders>
          </w:tcPr>
          <w:p w:rsidR="00F60286" w:rsidRDefault="00F60286" w:rsidP="00481D23">
            <w:pPr>
              <w:jc w:val="both"/>
              <w:rPr>
                <w:bCs/>
                <w:lang w:val="pt-BR"/>
              </w:rPr>
            </w:pPr>
            <w:r w:rsidRPr="00ED2F87">
              <w:rPr>
                <w:b/>
                <w:bCs/>
              </w:rPr>
              <w:t>I.</w:t>
            </w:r>
            <w:r w:rsidR="00433438" w:rsidRPr="00ED2F87">
              <w:rPr>
                <w:bCs/>
              </w:rPr>
              <w:t xml:space="preserve"> </w:t>
            </w:r>
            <w:r w:rsidRPr="00ED2F87">
              <w:rPr>
                <w:bCs/>
              </w:rPr>
              <w:t xml:space="preserve"> M</w:t>
            </w:r>
            <w:r w:rsidR="00AA694E" w:rsidRPr="00ED2F87">
              <w:rPr>
                <w:bCs/>
              </w:rPr>
              <w:t xml:space="preserve">odificarea </w:t>
            </w:r>
            <w:r w:rsidR="00AA694E" w:rsidRPr="00ED2F87">
              <w:rPr>
                <w:bCs/>
                <w:lang w:val="pt-BR"/>
              </w:rPr>
              <w:t xml:space="preserve">Hotărârii Guvernului nr.  </w:t>
            </w:r>
            <w:r w:rsidR="00863345" w:rsidRPr="00ED2F87">
              <w:rPr>
                <w:bCs/>
                <w:lang w:val="pt-BR"/>
              </w:rPr>
              <w:t xml:space="preserve">637/2017 </w:t>
            </w:r>
            <w:r w:rsidR="00AA694E" w:rsidRPr="00ED2F87">
              <w:rPr>
                <w:bCs/>
                <w:lang w:val="pt-BR"/>
              </w:rPr>
              <w:t xml:space="preserve">pentru organizarea și funcționarea </w:t>
            </w:r>
            <w:r w:rsidR="00863345" w:rsidRPr="00ED2F87">
              <w:rPr>
                <w:bCs/>
                <w:lang w:val="pt-BR"/>
              </w:rPr>
              <w:t>C</w:t>
            </w:r>
            <w:r w:rsidR="00AA694E" w:rsidRPr="00ED2F87">
              <w:rPr>
                <w:bCs/>
                <w:lang w:val="pt-BR"/>
              </w:rPr>
              <w:t xml:space="preserve">onsiliului pentru Coordonarea Industriei Naționale de Apărare; </w:t>
            </w:r>
          </w:p>
          <w:p w:rsidR="00ED2F87" w:rsidRPr="00ED2F87" w:rsidRDefault="00ED2F87" w:rsidP="00481D23">
            <w:pPr>
              <w:jc w:val="both"/>
              <w:rPr>
                <w:bCs/>
              </w:rPr>
            </w:pPr>
          </w:p>
          <w:p w:rsidR="005A0798" w:rsidRPr="00ED2F87" w:rsidRDefault="00F60286" w:rsidP="00481D23">
            <w:pPr>
              <w:jc w:val="both"/>
              <w:rPr>
                <w:rFonts w:eastAsia="Calibri"/>
              </w:rPr>
            </w:pPr>
            <w:r w:rsidRPr="00ED2F87">
              <w:rPr>
                <w:b/>
                <w:bCs/>
                <w:lang w:val="pt-BR"/>
              </w:rPr>
              <w:t>II.</w:t>
            </w:r>
            <w:r w:rsidRPr="00ED2F87">
              <w:rPr>
                <w:bCs/>
                <w:lang w:val="pt-BR"/>
              </w:rPr>
              <w:t xml:space="preserve"> M</w:t>
            </w:r>
            <w:r w:rsidR="00AA694E" w:rsidRPr="00ED2F87">
              <w:rPr>
                <w:bCs/>
                <w:lang w:val="pt-BR"/>
              </w:rPr>
              <w:t>odificarea și completarea Hotărârii Guvernului nr. 174/2017</w:t>
            </w:r>
            <w:r w:rsidR="00676665" w:rsidRPr="00ED2F87">
              <w:rPr>
                <w:bCs/>
                <w:lang w:val="pt-BR"/>
              </w:rPr>
              <w:t xml:space="preserve"> </w:t>
            </w:r>
            <w:r w:rsidR="00676665" w:rsidRPr="00ED2F87">
              <w:rPr>
                <w:rFonts w:eastAsia="Calibri"/>
              </w:rPr>
              <w:t>pentru aprobarea Normelor metodologice privind modul de calcul al drepturilor salariale pentru salariații încadrați cu contract individual de muncă pe durată nedeterminată la operatorii economici cu capital majoritar sau integral de stat din industria națională de apărare care nu desfășoară activități de bază din lipsă de comenzi sau contracte, precum și pentru stabilirea activităților prevăzute la art. 24 din Legea nr. 232/2016 privind industria națională de apărare, precum și pentru modificarea și completarea unor acte normative</w:t>
            </w:r>
            <w:r w:rsidRPr="00ED2F87">
              <w:rPr>
                <w:rFonts w:eastAsia="Calibri"/>
              </w:rPr>
              <w:t>.</w:t>
            </w:r>
          </w:p>
          <w:p w:rsidR="00F60286" w:rsidRPr="00ED2F87" w:rsidRDefault="00F60286" w:rsidP="00481D23">
            <w:pPr>
              <w:jc w:val="both"/>
              <w:rPr>
                <w:color w:val="FF0000"/>
              </w:rPr>
            </w:pPr>
          </w:p>
        </w:tc>
      </w:tr>
      <w:tr w:rsidR="005A0798" w:rsidRPr="00ED2F87" w:rsidTr="00CF19DB">
        <w:trPr>
          <w:trHeight w:val="989"/>
        </w:trPr>
        <w:tc>
          <w:tcPr>
            <w:tcW w:w="3289" w:type="dxa"/>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9C04E7">
            <w:pPr>
              <w:tabs>
                <w:tab w:val="left" w:pos="360"/>
              </w:tabs>
              <w:jc w:val="both"/>
              <w:rPr>
                <w:b/>
              </w:rPr>
            </w:pPr>
            <w:r w:rsidRPr="00ED2F87">
              <w:rPr>
                <w:b/>
                <w:lang w:val="it-IT"/>
              </w:rPr>
              <w:t>1^1. Compatibilitatea proiectului de act normativ cu legisla</w:t>
            </w:r>
            <w:r w:rsidR="003F2E8E" w:rsidRPr="00ED2F87">
              <w:rPr>
                <w:b/>
                <w:lang w:val="it-IT"/>
              </w:rPr>
              <w:t>ț</w:t>
            </w:r>
            <w:r w:rsidRPr="00ED2F87">
              <w:rPr>
                <w:b/>
              </w:rPr>
              <w:t>ia în domeniul achizi</w:t>
            </w:r>
            <w:r w:rsidR="003F2E8E" w:rsidRPr="00ED2F87">
              <w:rPr>
                <w:b/>
              </w:rPr>
              <w:t>ț</w:t>
            </w:r>
            <w:r w:rsidRPr="00ED2F87">
              <w:rPr>
                <w:b/>
              </w:rPr>
              <w:t>iilor publice</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525EB">
            <w:pPr>
              <w:spacing w:after="120"/>
              <w:jc w:val="both"/>
            </w:pPr>
          </w:p>
          <w:p w:rsidR="005A0798" w:rsidRPr="00ED2F87" w:rsidRDefault="005A0798" w:rsidP="007525EB">
            <w:pPr>
              <w:spacing w:after="120"/>
              <w:jc w:val="both"/>
            </w:pPr>
            <w:r w:rsidRPr="00ED2F87">
              <w:rPr>
                <w:bCs/>
              </w:rPr>
              <w:t>Proiectul de act normativ nu se referă la acest subiect.</w:t>
            </w:r>
          </w:p>
        </w:tc>
      </w:tr>
      <w:tr w:rsidR="005A0798" w:rsidRPr="00ED2F87" w:rsidTr="00CF19DB">
        <w:trPr>
          <w:cantSplit/>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6"/>
              </w:numPr>
              <w:ind w:left="0" w:firstLine="0"/>
              <w:jc w:val="both"/>
            </w:pPr>
            <w:r w:rsidRPr="00ED2F87">
              <w:rPr>
                <w:b/>
              </w:rPr>
              <w:t>Conformitatea proiectului de act normativ cu legisla</w:t>
            </w:r>
            <w:r w:rsidR="003F2E8E" w:rsidRPr="00ED2F87">
              <w:rPr>
                <w:b/>
              </w:rPr>
              <w:t>ț</w:t>
            </w:r>
            <w:r w:rsidRPr="00ED2F87">
              <w:rPr>
                <w:b/>
              </w:rPr>
              <w:t>ia comunitară în cazul proiectelor ce transpun prevederi comunitare</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pPr>
              <w:jc w:val="both"/>
            </w:pPr>
            <w:r w:rsidRPr="00ED2F87">
              <w:rPr>
                <w:bCs/>
              </w:rPr>
              <w:t>Proiectul de act normativ nu se referă la acest subiect.</w:t>
            </w:r>
          </w:p>
        </w:tc>
      </w:tr>
      <w:tr w:rsidR="005A0798" w:rsidRPr="00ED2F87" w:rsidTr="00CF19DB">
        <w:trPr>
          <w:cantSplit/>
          <w:trHeight w:val="524"/>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6"/>
              </w:numPr>
              <w:ind w:left="0" w:firstLine="0"/>
              <w:jc w:val="both"/>
            </w:pPr>
            <w:r w:rsidRPr="00ED2F87">
              <w:rPr>
                <w:b/>
              </w:rPr>
              <w:t>Măsuri normative necesare aplicării directe a actelor normative comunitare</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r w:rsidRPr="00ED2F87">
              <w:rPr>
                <w:bCs/>
              </w:rPr>
              <w:t>Proiectul de act normativ nu se referă la acest subiect.</w:t>
            </w:r>
          </w:p>
        </w:tc>
      </w:tr>
      <w:tr w:rsidR="005A0798" w:rsidRPr="00ED2F87" w:rsidTr="00CF19DB">
        <w:trPr>
          <w:cantSplit/>
          <w:trHeight w:val="571"/>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6"/>
              </w:numPr>
              <w:ind w:left="0" w:firstLine="0"/>
              <w:jc w:val="both"/>
            </w:pPr>
            <w:r w:rsidRPr="00ED2F87">
              <w:rPr>
                <w:b/>
              </w:rPr>
              <w:t>Hotărâri ale Cur</w:t>
            </w:r>
            <w:r w:rsidR="003F2E8E" w:rsidRPr="00ED2F87">
              <w:rPr>
                <w:b/>
              </w:rPr>
              <w:t>ț</w:t>
            </w:r>
            <w:r w:rsidRPr="00ED2F87">
              <w:rPr>
                <w:b/>
              </w:rPr>
              <w:t>ii de Justi</w:t>
            </w:r>
            <w:r w:rsidR="003F2E8E" w:rsidRPr="00ED2F87">
              <w:rPr>
                <w:b/>
              </w:rPr>
              <w:t>ț</w:t>
            </w:r>
            <w:r w:rsidRPr="00ED2F87">
              <w:rPr>
                <w:b/>
              </w:rPr>
              <w:t>ie a Uniunii Europene</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r w:rsidRPr="00ED2F87">
              <w:rPr>
                <w:bCs/>
              </w:rPr>
              <w:t>Proiectul de act normativ nu se referă la acest subiect.</w:t>
            </w:r>
          </w:p>
        </w:tc>
      </w:tr>
      <w:tr w:rsidR="005A0798" w:rsidRPr="00ED2F87" w:rsidTr="00CF19DB">
        <w:trPr>
          <w:cantSplit/>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6"/>
              </w:numPr>
              <w:ind w:left="0" w:firstLine="0"/>
              <w:jc w:val="both"/>
            </w:pPr>
            <w:r w:rsidRPr="00ED2F87">
              <w:rPr>
                <w:b/>
              </w:rPr>
              <w:t xml:space="preserve">Alte acte normative </w:t>
            </w:r>
            <w:r w:rsidR="003F2E8E" w:rsidRPr="00ED2F87">
              <w:rPr>
                <w:b/>
              </w:rPr>
              <w:t>ș</w:t>
            </w:r>
            <w:r w:rsidRPr="00ED2F87">
              <w:rPr>
                <w:b/>
              </w:rPr>
              <w:t>i/sau documente interna</w:t>
            </w:r>
            <w:r w:rsidR="003F2E8E" w:rsidRPr="00ED2F87">
              <w:rPr>
                <w:b/>
              </w:rPr>
              <w:t>ț</w:t>
            </w:r>
            <w:r w:rsidRPr="00ED2F87">
              <w:rPr>
                <w:b/>
              </w:rPr>
              <w:t>ionale din care decurg angajamente</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r w:rsidRPr="00ED2F87">
              <w:t>Nu au fost identificate.</w:t>
            </w:r>
          </w:p>
        </w:tc>
      </w:tr>
      <w:tr w:rsidR="005A0798" w:rsidRPr="00ED2F87" w:rsidTr="00CF19DB">
        <w:trPr>
          <w:cantSplit/>
          <w:trHeight w:val="351"/>
        </w:trPr>
        <w:tc>
          <w:tcPr>
            <w:tcW w:w="3289" w:type="dxa"/>
            <w:tcBorders>
              <w:top w:val="single" w:sz="4" w:space="0" w:color="000000"/>
              <w:left w:val="single" w:sz="4" w:space="0" w:color="000000"/>
              <w:bottom w:val="single" w:sz="4" w:space="0" w:color="000000"/>
            </w:tcBorders>
            <w:vAlign w:val="center"/>
          </w:tcPr>
          <w:p w:rsidR="005A0798" w:rsidRPr="00ED2F87" w:rsidRDefault="005A0798" w:rsidP="00CD48EF">
            <w:pPr>
              <w:numPr>
                <w:ilvl w:val="0"/>
                <w:numId w:val="16"/>
              </w:numPr>
              <w:ind w:left="0" w:firstLine="0"/>
              <w:jc w:val="both"/>
              <w:rPr>
                <w:b/>
                <w:bCs/>
              </w:rPr>
            </w:pPr>
            <w:r w:rsidRPr="00ED2F87">
              <w:rPr>
                <w:b/>
              </w:rPr>
              <w:t>Alte informa</w:t>
            </w:r>
            <w:r w:rsidR="003F2E8E" w:rsidRPr="00ED2F87">
              <w:rPr>
                <w:b/>
              </w:rPr>
              <w:t>ț</w:t>
            </w:r>
            <w:r w:rsidRPr="00ED2F87">
              <w:rPr>
                <w:b/>
              </w:rPr>
              <w:t>ii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rPr>
                <w:bCs/>
              </w:rPr>
            </w:pPr>
            <w:r w:rsidRPr="00ED2F87">
              <w:rPr>
                <w:bCs/>
              </w:rPr>
              <w:t>Nu au fost identificate.</w:t>
            </w:r>
          </w:p>
        </w:tc>
      </w:tr>
      <w:tr w:rsidR="005A0798" w:rsidRPr="00ED2F87" w:rsidTr="00CF19DB">
        <w:trPr>
          <w:cantSplit/>
          <w:trHeight w:val="149"/>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610CBA">
            <w:pPr>
              <w:pStyle w:val="Heading1"/>
              <w:tabs>
                <w:tab w:val="num" w:pos="432"/>
              </w:tabs>
              <w:suppressAutoHyphens/>
              <w:spacing w:before="0" w:after="0"/>
              <w:rPr>
                <w:rFonts w:ascii="Times New Roman" w:hAnsi="Times New Roman" w:cs="Times New Roman"/>
                <w:sz w:val="24"/>
                <w:szCs w:val="24"/>
              </w:rPr>
            </w:pPr>
            <w:r w:rsidRPr="00ED2F87">
              <w:rPr>
                <w:rFonts w:ascii="Times New Roman" w:hAnsi="Times New Roman" w:cs="Times New Roman"/>
                <w:sz w:val="24"/>
                <w:szCs w:val="24"/>
              </w:rPr>
              <w:t>Sec</w:t>
            </w:r>
            <w:r w:rsidR="003F2E8E" w:rsidRPr="00ED2F87">
              <w:rPr>
                <w:rFonts w:ascii="Times New Roman" w:hAnsi="Times New Roman" w:cs="Times New Roman"/>
                <w:sz w:val="24"/>
                <w:szCs w:val="24"/>
              </w:rPr>
              <w:t>ț</w:t>
            </w:r>
            <w:r w:rsidRPr="00ED2F87">
              <w:rPr>
                <w:rFonts w:ascii="Times New Roman" w:hAnsi="Times New Roman" w:cs="Times New Roman"/>
                <w:sz w:val="24"/>
                <w:szCs w:val="24"/>
              </w:rPr>
              <w:t>iunea a 6-a</w:t>
            </w:r>
          </w:p>
          <w:p w:rsidR="00ED2F87" w:rsidRPr="00ED2F87" w:rsidRDefault="005A0798" w:rsidP="00CF19DB">
            <w:pPr>
              <w:pStyle w:val="Heading1"/>
              <w:tabs>
                <w:tab w:val="num" w:pos="432"/>
              </w:tabs>
              <w:suppressAutoHyphens/>
              <w:spacing w:before="0" w:after="0"/>
              <w:ind w:left="432" w:hanging="432"/>
            </w:pPr>
            <w:r w:rsidRPr="00ED2F87">
              <w:rPr>
                <w:rFonts w:ascii="Times New Roman" w:hAnsi="Times New Roman" w:cs="Times New Roman"/>
                <w:sz w:val="24"/>
                <w:szCs w:val="24"/>
              </w:rPr>
              <w:t>Consultările efectuate în vederea elaborării proiectului de act normativ</w:t>
            </w:r>
          </w:p>
        </w:tc>
      </w:tr>
      <w:tr w:rsidR="005A0798" w:rsidRPr="00ED2F87" w:rsidTr="00CF19DB">
        <w:trPr>
          <w:cantSplit/>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7"/>
              </w:numPr>
              <w:ind w:left="0" w:firstLine="0"/>
              <w:jc w:val="both"/>
            </w:pPr>
            <w:r w:rsidRPr="00ED2F87">
              <w:rPr>
                <w:b/>
              </w:rPr>
              <w:t>Informa</w:t>
            </w:r>
            <w:r w:rsidR="003F2E8E" w:rsidRPr="00ED2F87">
              <w:rPr>
                <w:b/>
              </w:rPr>
              <w:t>ț</w:t>
            </w:r>
            <w:r w:rsidRPr="00ED2F87">
              <w:rPr>
                <w:b/>
              </w:rPr>
              <w:t>ii privind procesul de consultare cu organiza</w:t>
            </w:r>
            <w:r w:rsidR="003F2E8E" w:rsidRPr="00ED2F87">
              <w:rPr>
                <w:b/>
              </w:rPr>
              <w:t>ț</w:t>
            </w:r>
            <w:r w:rsidRPr="00ED2F87">
              <w:rPr>
                <w:b/>
              </w:rPr>
              <w:t xml:space="preserve">ii neguvernamentale, institute de cercetare </w:t>
            </w:r>
            <w:r w:rsidR="003F2E8E" w:rsidRPr="00ED2F87">
              <w:rPr>
                <w:b/>
              </w:rPr>
              <w:t>ș</w:t>
            </w:r>
            <w:r w:rsidRPr="00ED2F87">
              <w:rPr>
                <w:b/>
              </w:rPr>
              <w:t>i alte organisme implicate</w:t>
            </w:r>
          </w:p>
        </w:tc>
        <w:tc>
          <w:tcPr>
            <w:tcW w:w="6804" w:type="dxa"/>
            <w:gridSpan w:val="6"/>
            <w:tcBorders>
              <w:top w:val="single" w:sz="4" w:space="0" w:color="000000"/>
              <w:left w:val="single" w:sz="4" w:space="0" w:color="000000"/>
              <w:bottom w:val="single" w:sz="4" w:space="0" w:color="000000"/>
              <w:right w:val="single" w:sz="4" w:space="0" w:color="000000"/>
            </w:tcBorders>
          </w:tcPr>
          <w:p w:rsidR="00EB2E20" w:rsidRPr="00ED2F87" w:rsidRDefault="00EB2E20" w:rsidP="00795F2A">
            <w:pPr>
              <w:jc w:val="both"/>
            </w:pPr>
          </w:p>
          <w:p w:rsidR="005A0798" w:rsidRPr="00ED2F87" w:rsidRDefault="005A0798" w:rsidP="00795F2A">
            <w:pPr>
              <w:jc w:val="both"/>
            </w:pPr>
            <w:r w:rsidRPr="00ED2F87">
              <w:t>Nu au fost identificate</w:t>
            </w:r>
            <w:r w:rsidR="00796C8A" w:rsidRPr="00ED2F87">
              <w:t>.</w:t>
            </w:r>
          </w:p>
        </w:tc>
      </w:tr>
      <w:tr w:rsidR="005A0798" w:rsidRPr="00ED2F87" w:rsidTr="00CF19DB">
        <w:trPr>
          <w:cantSplit/>
          <w:trHeight w:val="893"/>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7"/>
              </w:numPr>
              <w:ind w:left="0" w:firstLine="0"/>
              <w:jc w:val="both"/>
            </w:pPr>
            <w:r w:rsidRPr="00ED2F87">
              <w:rPr>
                <w:b/>
              </w:rPr>
              <w:lastRenderedPageBreak/>
              <w:t>Fundamentarea alegerii organiza</w:t>
            </w:r>
            <w:r w:rsidR="003F2E8E" w:rsidRPr="00ED2F87">
              <w:rPr>
                <w:b/>
              </w:rPr>
              <w:t>ț</w:t>
            </w:r>
            <w:r w:rsidRPr="00ED2F87">
              <w:rPr>
                <w:b/>
              </w:rPr>
              <w:t xml:space="preserve">iilor cu care a avut loc consultarea, precum </w:t>
            </w:r>
            <w:r w:rsidR="003F2E8E" w:rsidRPr="00ED2F87">
              <w:rPr>
                <w:b/>
              </w:rPr>
              <w:t>ș</w:t>
            </w:r>
            <w:r w:rsidRPr="00ED2F87">
              <w:rPr>
                <w:b/>
              </w:rPr>
              <w:t>i a modului în care activitatea acestor organiza</w:t>
            </w:r>
            <w:r w:rsidR="003F2E8E" w:rsidRPr="00ED2F87">
              <w:rPr>
                <w:b/>
              </w:rPr>
              <w:t>ț</w:t>
            </w:r>
            <w:r w:rsidRPr="00ED2F87">
              <w:rPr>
                <w:b/>
              </w:rPr>
              <w:t>ii este legată de obiectul proiectului de act normativ</w:t>
            </w:r>
          </w:p>
        </w:tc>
        <w:tc>
          <w:tcPr>
            <w:tcW w:w="6804" w:type="dxa"/>
            <w:gridSpan w:val="6"/>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795F2A">
            <w:r w:rsidRPr="00ED2F87">
              <w:rPr>
                <w:bCs/>
              </w:rPr>
              <w:t>Proiectul de act normativ nu se referă la acest subiect.</w:t>
            </w:r>
          </w:p>
        </w:tc>
      </w:tr>
      <w:tr w:rsidR="005A0798" w:rsidRPr="00ED2F87" w:rsidTr="00CF19DB">
        <w:trPr>
          <w:cantSplit/>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7"/>
              </w:numPr>
              <w:ind w:left="0" w:firstLine="0"/>
              <w:jc w:val="both"/>
            </w:pPr>
            <w:r w:rsidRPr="00ED2F87">
              <w:rPr>
                <w:b/>
              </w:rPr>
              <w:t>Consultările organizate cu autorită</w:t>
            </w:r>
            <w:r w:rsidR="003F2E8E" w:rsidRPr="00ED2F87">
              <w:rPr>
                <w:b/>
              </w:rPr>
              <w:t>ț</w:t>
            </w:r>
            <w:r w:rsidRPr="00ED2F87">
              <w:rPr>
                <w:b/>
              </w:rPr>
              <w:t>ile administra</w:t>
            </w:r>
            <w:r w:rsidR="003F2E8E" w:rsidRPr="00ED2F87">
              <w:rPr>
                <w:b/>
              </w:rPr>
              <w:t>ț</w:t>
            </w:r>
            <w:r w:rsidRPr="00ED2F87">
              <w:rPr>
                <w:b/>
              </w:rPr>
              <w:t>iei publice locale, în situa</w:t>
            </w:r>
            <w:r w:rsidR="003F2E8E" w:rsidRPr="00ED2F87">
              <w:rPr>
                <w:b/>
              </w:rPr>
              <w:t>ț</w:t>
            </w:r>
            <w:r w:rsidRPr="00ED2F87">
              <w:rPr>
                <w:b/>
              </w:rPr>
              <w:t>ia în care proiectul de act normativ are ca obiect activită</w:t>
            </w:r>
            <w:r w:rsidR="003F2E8E" w:rsidRPr="00ED2F87">
              <w:rPr>
                <w:b/>
              </w:rPr>
              <w:t>ț</w:t>
            </w:r>
            <w:r w:rsidRPr="00ED2F87">
              <w:rPr>
                <w:b/>
              </w:rPr>
              <w:t>i ale acestor autorită</w:t>
            </w:r>
            <w:r w:rsidR="003F2E8E" w:rsidRPr="00ED2F87">
              <w:rPr>
                <w:b/>
              </w:rPr>
              <w:t>ț</w:t>
            </w:r>
            <w:r w:rsidRPr="00ED2F87">
              <w:rPr>
                <w:b/>
              </w:rPr>
              <w:t>i, în condi</w:t>
            </w:r>
            <w:r w:rsidR="003F2E8E" w:rsidRPr="00ED2F87">
              <w:rPr>
                <w:b/>
              </w:rPr>
              <w:t>ț</w:t>
            </w:r>
            <w:r w:rsidRPr="00ED2F87">
              <w:rPr>
                <w:b/>
              </w:rPr>
              <w:t>iile Hotărârii Guvernului nr. 521/2005 privind procedura de consultare a structurilor asociative ale autorită</w:t>
            </w:r>
            <w:r w:rsidR="003F2E8E" w:rsidRPr="00ED2F87">
              <w:rPr>
                <w:b/>
              </w:rPr>
              <w:t>ț</w:t>
            </w:r>
            <w:r w:rsidRPr="00ED2F87">
              <w:rPr>
                <w:b/>
              </w:rPr>
              <w:t>ilor administra</w:t>
            </w:r>
            <w:r w:rsidR="003F2E8E" w:rsidRPr="00ED2F87">
              <w:rPr>
                <w:b/>
              </w:rPr>
              <w:t>ț</w:t>
            </w:r>
            <w:r w:rsidRPr="00ED2F87">
              <w:rPr>
                <w:b/>
              </w:rPr>
              <w:t>iei publice locale la elaborarea proiectelor de acte normative</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rPr>
                <w:bCs/>
              </w:rPr>
            </w:pPr>
          </w:p>
          <w:p w:rsidR="005A0798" w:rsidRPr="00ED2F87" w:rsidRDefault="005A0798" w:rsidP="00795F2A">
            <w:pPr>
              <w:rPr>
                <w:bCs/>
              </w:rPr>
            </w:pPr>
          </w:p>
          <w:p w:rsidR="005A0798" w:rsidRPr="00ED2F87" w:rsidRDefault="005A0798" w:rsidP="00795F2A">
            <w:pPr>
              <w:rPr>
                <w:bCs/>
              </w:rPr>
            </w:pPr>
          </w:p>
          <w:p w:rsidR="005A0798" w:rsidRPr="00ED2F87" w:rsidRDefault="005A0798" w:rsidP="00795F2A">
            <w:pPr>
              <w:rPr>
                <w:bCs/>
              </w:rPr>
            </w:pPr>
          </w:p>
          <w:p w:rsidR="005A0798" w:rsidRPr="00ED2F87" w:rsidRDefault="005A0798" w:rsidP="00795F2A">
            <w:pPr>
              <w:rPr>
                <w:bCs/>
              </w:rPr>
            </w:pPr>
            <w:r w:rsidRPr="00ED2F87">
              <w:rPr>
                <w:bCs/>
              </w:rPr>
              <w:t>Proiectul de act normativ nu se referă la acest subiect.</w:t>
            </w:r>
          </w:p>
          <w:p w:rsidR="00824A5E" w:rsidRPr="00ED2F87" w:rsidRDefault="00824A5E" w:rsidP="00795F2A">
            <w:pPr>
              <w:rPr>
                <w:bCs/>
              </w:rPr>
            </w:pPr>
          </w:p>
          <w:p w:rsidR="00824A5E" w:rsidRPr="00ED2F87" w:rsidRDefault="00824A5E" w:rsidP="00795F2A">
            <w:pPr>
              <w:rPr>
                <w:bCs/>
              </w:rPr>
            </w:pPr>
          </w:p>
          <w:p w:rsidR="00824A5E" w:rsidRPr="00ED2F87" w:rsidRDefault="00824A5E" w:rsidP="00795F2A">
            <w:pPr>
              <w:rPr>
                <w:bCs/>
              </w:rPr>
            </w:pPr>
          </w:p>
          <w:p w:rsidR="00824A5E" w:rsidRPr="00ED2F87" w:rsidRDefault="00824A5E" w:rsidP="00795F2A">
            <w:pPr>
              <w:rPr>
                <w:bCs/>
              </w:rPr>
            </w:pPr>
          </w:p>
          <w:p w:rsidR="00824A5E" w:rsidRPr="00ED2F87" w:rsidRDefault="00824A5E" w:rsidP="00795F2A">
            <w:pPr>
              <w:rPr>
                <w:bCs/>
              </w:rPr>
            </w:pPr>
          </w:p>
          <w:p w:rsidR="00824A5E" w:rsidRPr="00ED2F87" w:rsidRDefault="00824A5E" w:rsidP="00795F2A"/>
        </w:tc>
      </w:tr>
      <w:tr w:rsidR="005A0798" w:rsidRPr="00ED2F87" w:rsidTr="00CF19DB">
        <w:trPr>
          <w:cantSplit/>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7"/>
              </w:numPr>
              <w:ind w:left="0" w:firstLine="0"/>
              <w:jc w:val="both"/>
            </w:pPr>
            <w:r w:rsidRPr="00ED2F87">
              <w:rPr>
                <w:b/>
              </w:rPr>
              <w:t>Consultările desfă</w:t>
            </w:r>
            <w:r w:rsidR="003F2E8E" w:rsidRPr="00ED2F87">
              <w:rPr>
                <w:b/>
              </w:rPr>
              <w:t>ș</w:t>
            </w:r>
            <w:r w:rsidRPr="00ED2F87">
              <w:rPr>
                <w:b/>
              </w:rPr>
              <w:t>urate în cadrul consiliilor interministeriale, în conformitate cu prevederile Hotărârii Guvernului nr. 750/2005 privind constituirea consiliilor interministeriale permanente</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rPr>
                <w:bCs/>
              </w:rPr>
            </w:pPr>
          </w:p>
          <w:p w:rsidR="005A0798" w:rsidRPr="00ED2F87" w:rsidRDefault="005A0798" w:rsidP="00795F2A">
            <w:pPr>
              <w:rPr>
                <w:bCs/>
              </w:rPr>
            </w:pPr>
          </w:p>
          <w:p w:rsidR="005A0798" w:rsidRPr="00ED2F87" w:rsidRDefault="005A0798" w:rsidP="00795F2A">
            <w:r w:rsidRPr="00ED2F87">
              <w:rPr>
                <w:bCs/>
              </w:rPr>
              <w:t>Proiectul de act normativ nu se referă la acest subiect.</w:t>
            </w:r>
          </w:p>
        </w:tc>
      </w:tr>
      <w:tr w:rsidR="005A0798" w:rsidRPr="00ED2F87" w:rsidTr="00CF19DB">
        <w:trPr>
          <w:cantSplit/>
          <w:trHeight w:val="149"/>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7"/>
              </w:numPr>
              <w:ind w:left="0" w:firstLine="0"/>
              <w:jc w:val="both"/>
              <w:rPr>
                <w:b/>
              </w:rPr>
            </w:pPr>
            <w:r w:rsidRPr="00ED2F87">
              <w:rPr>
                <w:b/>
              </w:rPr>
              <w:t>Informa</w:t>
            </w:r>
            <w:r w:rsidR="003F2E8E" w:rsidRPr="00ED2F87">
              <w:rPr>
                <w:b/>
              </w:rPr>
              <w:t>ț</w:t>
            </w:r>
            <w:r w:rsidRPr="00ED2F87">
              <w:rPr>
                <w:b/>
              </w:rPr>
              <w:t>ii privind avizarea de către:</w:t>
            </w:r>
          </w:p>
          <w:p w:rsidR="005A0798" w:rsidRPr="00ED2F87" w:rsidRDefault="005A0798" w:rsidP="00CD48EF">
            <w:pPr>
              <w:numPr>
                <w:ilvl w:val="0"/>
                <w:numId w:val="1"/>
              </w:numPr>
              <w:tabs>
                <w:tab w:val="clear" w:pos="720"/>
              </w:tabs>
              <w:suppressAutoHyphens/>
              <w:ind w:left="0" w:firstLine="0"/>
              <w:rPr>
                <w:b/>
              </w:rPr>
            </w:pPr>
            <w:r w:rsidRPr="00ED2F87">
              <w:rPr>
                <w:b/>
              </w:rPr>
              <w:t>Consiliul Legislativ</w:t>
            </w:r>
          </w:p>
          <w:p w:rsidR="005A0798" w:rsidRPr="00ED2F87" w:rsidRDefault="005A0798" w:rsidP="00CD48EF">
            <w:pPr>
              <w:numPr>
                <w:ilvl w:val="0"/>
                <w:numId w:val="1"/>
              </w:numPr>
              <w:tabs>
                <w:tab w:val="clear" w:pos="720"/>
              </w:tabs>
              <w:suppressAutoHyphens/>
              <w:ind w:left="0" w:firstLine="0"/>
              <w:rPr>
                <w:b/>
              </w:rPr>
            </w:pPr>
            <w:r w:rsidRPr="00ED2F87">
              <w:rPr>
                <w:b/>
              </w:rPr>
              <w:t xml:space="preserve">Consiliul Suprem de Apărare a </w:t>
            </w:r>
            <w:r w:rsidR="003F2E8E" w:rsidRPr="00ED2F87">
              <w:rPr>
                <w:b/>
              </w:rPr>
              <w:t>Ț</w:t>
            </w:r>
            <w:r w:rsidRPr="00ED2F87">
              <w:rPr>
                <w:b/>
              </w:rPr>
              <w:t>ării</w:t>
            </w:r>
          </w:p>
          <w:p w:rsidR="005A0798" w:rsidRPr="00ED2F87" w:rsidRDefault="005A0798" w:rsidP="00CD48EF">
            <w:pPr>
              <w:numPr>
                <w:ilvl w:val="0"/>
                <w:numId w:val="1"/>
              </w:numPr>
              <w:tabs>
                <w:tab w:val="clear" w:pos="720"/>
              </w:tabs>
              <w:suppressAutoHyphens/>
              <w:ind w:left="0" w:firstLine="0"/>
              <w:rPr>
                <w:b/>
              </w:rPr>
            </w:pPr>
            <w:r w:rsidRPr="00ED2F87">
              <w:rPr>
                <w:b/>
              </w:rPr>
              <w:t xml:space="preserve">Consiliul Economic </w:t>
            </w:r>
            <w:r w:rsidR="003F2E8E" w:rsidRPr="00ED2F87">
              <w:rPr>
                <w:b/>
              </w:rPr>
              <w:t>ș</w:t>
            </w:r>
            <w:r w:rsidRPr="00ED2F87">
              <w:rPr>
                <w:b/>
              </w:rPr>
              <w:t>i Social</w:t>
            </w:r>
          </w:p>
          <w:p w:rsidR="005A0798" w:rsidRPr="00ED2F87" w:rsidRDefault="005A0798" w:rsidP="00CD48EF">
            <w:pPr>
              <w:numPr>
                <w:ilvl w:val="0"/>
                <w:numId w:val="1"/>
              </w:numPr>
              <w:tabs>
                <w:tab w:val="clear" w:pos="720"/>
              </w:tabs>
              <w:suppressAutoHyphens/>
              <w:ind w:left="0" w:firstLine="0"/>
              <w:rPr>
                <w:b/>
              </w:rPr>
            </w:pPr>
            <w:r w:rsidRPr="00ED2F87">
              <w:rPr>
                <w:b/>
              </w:rPr>
              <w:t>Consiliul Concuren</w:t>
            </w:r>
            <w:r w:rsidR="003F2E8E" w:rsidRPr="00ED2F87">
              <w:rPr>
                <w:b/>
              </w:rPr>
              <w:t>ț</w:t>
            </w:r>
            <w:r w:rsidRPr="00ED2F87">
              <w:rPr>
                <w:b/>
              </w:rPr>
              <w:t>ei</w:t>
            </w:r>
          </w:p>
          <w:p w:rsidR="005A0798" w:rsidRPr="00ED2F87" w:rsidRDefault="005A0798" w:rsidP="00CD48EF">
            <w:pPr>
              <w:numPr>
                <w:ilvl w:val="0"/>
                <w:numId w:val="1"/>
              </w:numPr>
              <w:tabs>
                <w:tab w:val="clear" w:pos="720"/>
              </w:tabs>
              <w:suppressAutoHyphens/>
              <w:ind w:left="0" w:firstLine="0"/>
              <w:rPr>
                <w:bCs/>
              </w:rPr>
            </w:pPr>
            <w:r w:rsidRPr="00ED2F87">
              <w:rPr>
                <w:b/>
              </w:rPr>
              <w:t>Curtea de Conturi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4A6981">
            <w:pPr>
              <w:jc w:val="both"/>
              <w:rPr>
                <w:bCs/>
              </w:rPr>
            </w:pPr>
          </w:p>
          <w:p w:rsidR="00140953" w:rsidRPr="00ED2F87" w:rsidRDefault="00140953" w:rsidP="004A6981">
            <w:pPr>
              <w:jc w:val="both"/>
              <w:rPr>
                <w:bCs/>
              </w:rPr>
            </w:pPr>
          </w:p>
          <w:p w:rsidR="005A0798" w:rsidRPr="00ED2F87" w:rsidRDefault="005A0798" w:rsidP="004A6981">
            <w:pPr>
              <w:jc w:val="both"/>
              <w:rPr>
                <w:bCs/>
              </w:rPr>
            </w:pPr>
            <w:r w:rsidRPr="00ED2F87">
              <w:rPr>
                <w:bCs/>
              </w:rPr>
              <w:t>Se va solicita avizul Consiliul</w:t>
            </w:r>
            <w:r w:rsidR="00AD7127" w:rsidRPr="00ED2F87">
              <w:rPr>
                <w:bCs/>
              </w:rPr>
              <w:t>ui</w:t>
            </w:r>
            <w:r w:rsidRPr="00ED2F87">
              <w:rPr>
                <w:bCs/>
              </w:rPr>
              <w:t xml:space="preserve"> Legislativ </w:t>
            </w:r>
          </w:p>
          <w:p w:rsidR="006A5F6B" w:rsidRPr="00ED2F87" w:rsidRDefault="006A5F6B" w:rsidP="004A6981">
            <w:pPr>
              <w:jc w:val="both"/>
            </w:pPr>
          </w:p>
          <w:p w:rsidR="00140953" w:rsidRPr="00ED2F87" w:rsidRDefault="00140953" w:rsidP="004A6981">
            <w:pPr>
              <w:jc w:val="both"/>
              <w:rPr>
                <w:bCs/>
              </w:rPr>
            </w:pPr>
          </w:p>
          <w:p w:rsidR="006A5F6B" w:rsidRPr="00ED2F87" w:rsidRDefault="006A5F6B" w:rsidP="004A6981">
            <w:pPr>
              <w:jc w:val="both"/>
            </w:pPr>
            <w:r w:rsidRPr="00ED2F87">
              <w:rPr>
                <w:bCs/>
              </w:rPr>
              <w:t>Se va solicita avizul Consiliul Economic și Social</w:t>
            </w:r>
          </w:p>
        </w:tc>
      </w:tr>
      <w:tr w:rsidR="005A0798" w:rsidRPr="00ED2F87" w:rsidTr="00CF19DB">
        <w:trPr>
          <w:cantSplit/>
          <w:trHeight w:val="316"/>
        </w:trPr>
        <w:tc>
          <w:tcPr>
            <w:tcW w:w="3289" w:type="dxa"/>
            <w:tcBorders>
              <w:top w:val="single" w:sz="4" w:space="0" w:color="000000"/>
              <w:left w:val="single" w:sz="4" w:space="0" w:color="000000"/>
              <w:bottom w:val="single" w:sz="4" w:space="0" w:color="000000"/>
            </w:tcBorders>
          </w:tcPr>
          <w:p w:rsidR="005A0798" w:rsidRPr="00ED2F87" w:rsidRDefault="005A0798" w:rsidP="00CD48EF">
            <w:pPr>
              <w:numPr>
                <w:ilvl w:val="0"/>
                <w:numId w:val="17"/>
              </w:numPr>
              <w:ind w:left="0" w:firstLine="0"/>
              <w:jc w:val="both"/>
            </w:pPr>
            <w:r w:rsidRPr="00ED2F87">
              <w:rPr>
                <w:b/>
              </w:rPr>
              <w:t>Alte informa</w:t>
            </w:r>
            <w:r w:rsidR="003F2E8E" w:rsidRPr="00ED2F87">
              <w:rPr>
                <w:b/>
              </w:rPr>
              <w:t>ț</w:t>
            </w:r>
            <w:r w:rsidRPr="00ED2F87">
              <w:rPr>
                <w:b/>
              </w:rPr>
              <w:t>ii</w:t>
            </w:r>
          </w:p>
        </w:tc>
        <w:tc>
          <w:tcPr>
            <w:tcW w:w="6804" w:type="dxa"/>
            <w:gridSpan w:val="6"/>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rPr>
                <w:b/>
                <w:bCs/>
              </w:rPr>
            </w:pPr>
            <w:r w:rsidRPr="00ED2F87">
              <w:rPr>
                <w:bCs/>
              </w:rPr>
              <w:t>Nu au fost identificate</w:t>
            </w:r>
          </w:p>
        </w:tc>
      </w:tr>
      <w:tr w:rsidR="005A0798" w:rsidRPr="00ED2F87" w:rsidTr="00CF19DB">
        <w:trPr>
          <w:cantSplit/>
          <w:trHeight w:val="497"/>
        </w:trPr>
        <w:tc>
          <w:tcPr>
            <w:tcW w:w="10093" w:type="dxa"/>
            <w:gridSpan w:val="7"/>
            <w:tcBorders>
              <w:top w:val="single" w:sz="4" w:space="0" w:color="000000"/>
              <w:left w:val="single" w:sz="4" w:space="0" w:color="000000"/>
              <w:bottom w:val="single" w:sz="4" w:space="0" w:color="000000"/>
              <w:right w:val="single" w:sz="4" w:space="0" w:color="000000"/>
            </w:tcBorders>
          </w:tcPr>
          <w:p w:rsidR="005A0798" w:rsidRPr="00ED2F87" w:rsidRDefault="005A0798" w:rsidP="00795F2A">
            <w:pPr>
              <w:pStyle w:val="Heading1"/>
              <w:spacing w:before="0" w:after="0"/>
              <w:rPr>
                <w:rFonts w:ascii="Times New Roman" w:hAnsi="Times New Roman" w:cs="Times New Roman"/>
                <w:bCs w:val="0"/>
                <w:kern w:val="0"/>
                <w:sz w:val="24"/>
                <w:szCs w:val="24"/>
              </w:rPr>
            </w:pPr>
            <w:r w:rsidRPr="00ED2F87">
              <w:rPr>
                <w:rFonts w:ascii="Times New Roman" w:hAnsi="Times New Roman" w:cs="Times New Roman"/>
                <w:bCs w:val="0"/>
                <w:kern w:val="0"/>
                <w:sz w:val="24"/>
                <w:szCs w:val="24"/>
              </w:rPr>
              <w:t>Sec</w:t>
            </w:r>
            <w:r w:rsidR="003F2E8E" w:rsidRPr="00ED2F87">
              <w:rPr>
                <w:rFonts w:ascii="Times New Roman" w:hAnsi="Times New Roman" w:cs="Times New Roman"/>
                <w:bCs w:val="0"/>
                <w:kern w:val="0"/>
                <w:sz w:val="24"/>
                <w:szCs w:val="24"/>
              </w:rPr>
              <w:t>ț</w:t>
            </w:r>
            <w:r w:rsidRPr="00ED2F87">
              <w:rPr>
                <w:rFonts w:ascii="Times New Roman" w:hAnsi="Times New Roman" w:cs="Times New Roman"/>
                <w:bCs w:val="0"/>
                <w:kern w:val="0"/>
                <w:sz w:val="24"/>
                <w:szCs w:val="24"/>
              </w:rPr>
              <w:t>iunea a 7-a</w:t>
            </w:r>
          </w:p>
          <w:p w:rsidR="00824A5E" w:rsidRPr="00ED2F87" w:rsidRDefault="005A0798" w:rsidP="00CF19DB">
            <w:r w:rsidRPr="00ED2F87">
              <w:rPr>
                <w:b/>
              </w:rPr>
              <w:t>Activită</w:t>
            </w:r>
            <w:r w:rsidR="003F2E8E" w:rsidRPr="00ED2F87">
              <w:rPr>
                <w:b/>
              </w:rPr>
              <w:t>ț</w:t>
            </w:r>
            <w:r w:rsidRPr="00ED2F87">
              <w:rPr>
                <w:b/>
              </w:rPr>
              <w:t xml:space="preserve">i de informare publică privind elaborarea </w:t>
            </w:r>
            <w:r w:rsidR="003F2E8E" w:rsidRPr="00ED2F87">
              <w:rPr>
                <w:b/>
              </w:rPr>
              <w:t>ș</w:t>
            </w:r>
            <w:r w:rsidRPr="00ED2F87">
              <w:rPr>
                <w:b/>
              </w:rPr>
              <w:t>i implementarea proiectului de act normativ</w:t>
            </w:r>
          </w:p>
        </w:tc>
      </w:tr>
    </w:tbl>
    <w:p w:rsidR="005A0798" w:rsidRPr="00ED2F87" w:rsidRDefault="005A0798" w:rsidP="00306AA8">
      <w:pPr>
        <w:rPr>
          <w:vanish/>
        </w:rPr>
      </w:pPr>
    </w:p>
    <w:tbl>
      <w:tblPr>
        <w:tblW w:w="10065" w:type="dxa"/>
        <w:tblInd w:w="108" w:type="dxa"/>
        <w:tblLayout w:type="fixed"/>
        <w:tblLook w:val="0000" w:firstRow="0" w:lastRow="0" w:firstColumn="0" w:lastColumn="0" w:noHBand="0" w:noVBand="0"/>
      </w:tblPr>
      <w:tblGrid>
        <w:gridCol w:w="3289"/>
        <w:gridCol w:w="6776"/>
      </w:tblGrid>
      <w:tr w:rsidR="005A0798" w:rsidRPr="00ED2F87" w:rsidTr="00CF19DB">
        <w:trPr>
          <w:cantSplit/>
          <w:trHeight w:val="145"/>
        </w:trPr>
        <w:tc>
          <w:tcPr>
            <w:tcW w:w="3289" w:type="dxa"/>
            <w:tcBorders>
              <w:top w:val="single" w:sz="4" w:space="0" w:color="000000"/>
              <w:left w:val="single" w:sz="4" w:space="0" w:color="000000"/>
              <w:bottom w:val="single" w:sz="4" w:space="0" w:color="000000"/>
            </w:tcBorders>
          </w:tcPr>
          <w:p w:rsidR="005A0798" w:rsidRPr="00ED2F87" w:rsidRDefault="005A0798" w:rsidP="001A1248">
            <w:pPr>
              <w:jc w:val="both"/>
              <w:rPr>
                <w:b/>
              </w:rPr>
            </w:pPr>
            <w:r w:rsidRPr="00ED2F87">
              <w:rPr>
                <w:b/>
              </w:rPr>
              <w:t>1. Informarea societă</w:t>
            </w:r>
            <w:r w:rsidR="003F2E8E" w:rsidRPr="00ED2F87">
              <w:rPr>
                <w:b/>
              </w:rPr>
              <w:t>ț</w:t>
            </w:r>
            <w:r w:rsidRPr="00ED2F87">
              <w:rPr>
                <w:b/>
              </w:rPr>
              <w:t xml:space="preserve">ii civile cu privire la necesitatea elaborării proiectului de act normativ </w:t>
            </w:r>
          </w:p>
          <w:p w:rsidR="005A0798" w:rsidRPr="00ED2F87" w:rsidRDefault="005A0798" w:rsidP="001A1248">
            <w:pPr>
              <w:jc w:val="both"/>
              <w:rPr>
                <w:b/>
              </w:rPr>
            </w:pPr>
          </w:p>
        </w:tc>
        <w:tc>
          <w:tcPr>
            <w:tcW w:w="6776" w:type="dxa"/>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1A1248">
            <w:pPr>
              <w:jc w:val="both"/>
            </w:pPr>
            <w:r w:rsidRPr="00ED2F87">
              <w:t>Proiectul de act normativ se supune dezbaterii publice, prin afi</w:t>
            </w:r>
            <w:r w:rsidR="003F2E8E" w:rsidRPr="00ED2F87">
              <w:t>ș</w:t>
            </w:r>
            <w:r w:rsidRPr="00ED2F87">
              <w:t>are pe pagina de Internet a Ministerului Economiei</w:t>
            </w:r>
          </w:p>
        </w:tc>
      </w:tr>
      <w:tr w:rsidR="005A0798" w:rsidRPr="00ED2F87" w:rsidTr="00CF19DB">
        <w:trPr>
          <w:cantSplit/>
          <w:trHeight w:val="145"/>
        </w:trPr>
        <w:tc>
          <w:tcPr>
            <w:tcW w:w="3289" w:type="dxa"/>
            <w:tcBorders>
              <w:top w:val="single" w:sz="4" w:space="0" w:color="000000"/>
              <w:left w:val="single" w:sz="4" w:space="0" w:color="000000"/>
              <w:bottom w:val="single" w:sz="4" w:space="0" w:color="000000"/>
            </w:tcBorders>
          </w:tcPr>
          <w:p w:rsidR="005A0798" w:rsidRPr="00ED2F87" w:rsidRDefault="005A0798" w:rsidP="001A1248">
            <w:pPr>
              <w:jc w:val="both"/>
              <w:rPr>
                <w:b/>
              </w:rPr>
            </w:pPr>
            <w:r w:rsidRPr="00ED2F87">
              <w:rPr>
                <w:b/>
              </w:rPr>
              <w:lastRenderedPageBreak/>
              <w:t>2. Informarea societă</w:t>
            </w:r>
            <w:r w:rsidR="003F2E8E" w:rsidRPr="00ED2F87">
              <w:rPr>
                <w:b/>
              </w:rPr>
              <w:t>ț</w:t>
            </w:r>
            <w:r w:rsidRPr="00ED2F87">
              <w:rPr>
                <w:b/>
              </w:rPr>
              <w:t xml:space="preserve">ii civile cu privire la eventualul impact asupra mediului în urma implementării proiectului de act normativ, precum </w:t>
            </w:r>
            <w:r w:rsidR="003F2E8E" w:rsidRPr="00ED2F87">
              <w:rPr>
                <w:b/>
              </w:rPr>
              <w:t>ș</w:t>
            </w:r>
            <w:r w:rsidRPr="00ED2F87">
              <w:rPr>
                <w:b/>
              </w:rPr>
              <w:t>i efectele asupra sănătă</w:t>
            </w:r>
            <w:r w:rsidR="003F2E8E" w:rsidRPr="00ED2F87">
              <w:rPr>
                <w:b/>
              </w:rPr>
              <w:t>ț</w:t>
            </w:r>
            <w:r w:rsidRPr="00ED2F87">
              <w:rPr>
                <w:b/>
              </w:rPr>
              <w:t xml:space="preserve">ii </w:t>
            </w:r>
            <w:r w:rsidR="003F2E8E" w:rsidRPr="00ED2F87">
              <w:rPr>
                <w:b/>
              </w:rPr>
              <w:t>ș</w:t>
            </w:r>
            <w:r w:rsidRPr="00ED2F87">
              <w:rPr>
                <w:b/>
              </w:rPr>
              <w:t>i securită</w:t>
            </w:r>
            <w:r w:rsidR="003F2E8E" w:rsidRPr="00ED2F87">
              <w:rPr>
                <w:b/>
              </w:rPr>
              <w:t>ț</w:t>
            </w:r>
            <w:r w:rsidRPr="00ED2F87">
              <w:rPr>
                <w:b/>
              </w:rPr>
              <w:t>ii cetă</w:t>
            </w:r>
            <w:r w:rsidR="003F2E8E" w:rsidRPr="00ED2F87">
              <w:rPr>
                <w:b/>
              </w:rPr>
              <w:t>ț</w:t>
            </w:r>
            <w:r w:rsidRPr="00ED2F87">
              <w:rPr>
                <w:b/>
              </w:rPr>
              <w:t>enilor sau diversită</w:t>
            </w:r>
            <w:r w:rsidR="003F2E8E" w:rsidRPr="00ED2F87">
              <w:rPr>
                <w:b/>
              </w:rPr>
              <w:t>ț</w:t>
            </w:r>
            <w:r w:rsidRPr="00ED2F87">
              <w:rPr>
                <w:b/>
              </w:rPr>
              <w:t>ii biologice</w:t>
            </w:r>
          </w:p>
        </w:tc>
        <w:tc>
          <w:tcPr>
            <w:tcW w:w="6776" w:type="dxa"/>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1A1248">
            <w:r w:rsidRPr="00ED2F87">
              <w:t>Proiectul de act normativ nu se referă la acest subiect.</w:t>
            </w:r>
          </w:p>
        </w:tc>
      </w:tr>
      <w:tr w:rsidR="005A0798" w:rsidRPr="00ED2F87" w:rsidTr="00CF19DB">
        <w:trPr>
          <w:cantSplit/>
          <w:trHeight w:val="511"/>
        </w:trPr>
        <w:tc>
          <w:tcPr>
            <w:tcW w:w="3289" w:type="dxa"/>
            <w:tcBorders>
              <w:top w:val="single" w:sz="4" w:space="0" w:color="000000"/>
              <w:left w:val="single" w:sz="4" w:space="0" w:color="000000"/>
              <w:bottom w:val="single" w:sz="4" w:space="0" w:color="000000"/>
            </w:tcBorders>
            <w:vAlign w:val="center"/>
          </w:tcPr>
          <w:p w:rsidR="005A0798" w:rsidRPr="00ED2F87" w:rsidRDefault="005A0798" w:rsidP="001A1248">
            <w:r w:rsidRPr="00ED2F87">
              <w:t>3</w:t>
            </w:r>
            <w:r w:rsidRPr="00ED2F87">
              <w:rPr>
                <w:b/>
              </w:rPr>
              <w:t>. Alte informa</w:t>
            </w:r>
            <w:r w:rsidR="00D21842" w:rsidRPr="00ED2F87">
              <w:rPr>
                <w:b/>
              </w:rPr>
              <w:t>ț</w:t>
            </w:r>
            <w:r w:rsidRPr="00ED2F87">
              <w:rPr>
                <w:b/>
              </w:rPr>
              <w:t>ii</w:t>
            </w:r>
          </w:p>
        </w:tc>
        <w:tc>
          <w:tcPr>
            <w:tcW w:w="6776" w:type="dxa"/>
            <w:tcBorders>
              <w:top w:val="single" w:sz="4" w:space="0" w:color="000000"/>
              <w:left w:val="single" w:sz="4" w:space="0" w:color="000000"/>
              <w:bottom w:val="single" w:sz="4" w:space="0" w:color="000000"/>
              <w:right w:val="single" w:sz="4" w:space="0" w:color="000000"/>
            </w:tcBorders>
          </w:tcPr>
          <w:p w:rsidR="00824A5E" w:rsidRPr="00ED2F87" w:rsidRDefault="005A0798" w:rsidP="009D3AF8">
            <w:pPr>
              <w:jc w:val="both"/>
            </w:pPr>
            <w:r w:rsidRPr="00ED2F87">
              <w:t>Au fost respectate dispozi</w:t>
            </w:r>
            <w:r w:rsidR="00D21842" w:rsidRPr="00ED2F87">
              <w:t>ț</w:t>
            </w:r>
            <w:r w:rsidRPr="00ED2F87">
              <w:t>iile Legii nr. 52/2003 privind transparen</w:t>
            </w:r>
            <w:r w:rsidR="00D21842" w:rsidRPr="00ED2F87">
              <w:t>ț</w:t>
            </w:r>
            <w:r w:rsidRPr="00ED2F87">
              <w:t>a decizională în administra</w:t>
            </w:r>
            <w:r w:rsidR="00D21842" w:rsidRPr="00ED2F87">
              <w:t>ț</w:t>
            </w:r>
            <w:r w:rsidRPr="00ED2F87">
              <w:t>ia publică</w:t>
            </w:r>
          </w:p>
        </w:tc>
      </w:tr>
      <w:tr w:rsidR="005A0798" w:rsidRPr="00ED2F87" w:rsidTr="008D4F56">
        <w:trPr>
          <w:cantSplit/>
          <w:trHeight w:val="145"/>
        </w:trPr>
        <w:tc>
          <w:tcPr>
            <w:tcW w:w="10065" w:type="dxa"/>
            <w:gridSpan w:val="2"/>
            <w:tcBorders>
              <w:top w:val="single" w:sz="4" w:space="0" w:color="000000"/>
              <w:left w:val="single" w:sz="4" w:space="0" w:color="000000"/>
              <w:bottom w:val="single" w:sz="4" w:space="0" w:color="000000"/>
              <w:right w:val="single" w:sz="4" w:space="0" w:color="000000"/>
            </w:tcBorders>
          </w:tcPr>
          <w:p w:rsidR="005A0798" w:rsidRPr="00ED2F87" w:rsidRDefault="005A0798" w:rsidP="001A1248">
            <w:pPr>
              <w:pStyle w:val="Heading1"/>
              <w:tabs>
                <w:tab w:val="num" w:pos="432"/>
              </w:tabs>
              <w:suppressAutoHyphens/>
              <w:snapToGrid w:val="0"/>
              <w:spacing w:before="0" w:after="0"/>
              <w:ind w:left="432" w:hanging="432"/>
              <w:rPr>
                <w:rFonts w:ascii="Times New Roman" w:hAnsi="Times New Roman" w:cs="Times New Roman"/>
                <w:sz w:val="24"/>
                <w:szCs w:val="24"/>
              </w:rPr>
            </w:pPr>
            <w:r w:rsidRPr="00ED2F87">
              <w:rPr>
                <w:rFonts w:ascii="Times New Roman" w:hAnsi="Times New Roman" w:cs="Times New Roman"/>
                <w:sz w:val="24"/>
                <w:szCs w:val="24"/>
              </w:rPr>
              <w:t>Sec</w:t>
            </w:r>
            <w:r w:rsidR="00D21842" w:rsidRPr="00ED2F87">
              <w:rPr>
                <w:rFonts w:ascii="Times New Roman" w:hAnsi="Times New Roman" w:cs="Times New Roman"/>
                <w:sz w:val="24"/>
                <w:szCs w:val="24"/>
              </w:rPr>
              <w:t>ț</w:t>
            </w:r>
            <w:r w:rsidRPr="00ED2F87">
              <w:rPr>
                <w:rFonts w:ascii="Times New Roman" w:hAnsi="Times New Roman" w:cs="Times New Roman"/>
                <w:sz w:val="24"/>
                <w:szCs w:val="24"/>
              </w:rPr>
              <w:t>iunea a 8-a</w:t>
            </w:r>
          </w:p>
          <w:p w:rsidR="00824A5E" w:rsidRPr="00ED2F87" w:rsidRDefault="005A0798" w:rsidP="00CF19DB">
            <w:pPr>
              <w:pStyle w:val="Heading1"/>
              <w:tabs>
                <w:tab w:val="num" w:pos="432"/>
              </w:tabs>
              <w:suppressAutoHyphens/>
              <w:spacing w:before="0" w:after="0"/>
              <w:ind w:left="432" w:hanging="432"/>
              <w:rPr>
                <w:rFonts w:ascii="Times New Roman" w:hAnsi="Times New Roman" w:cs="Times New Roman"/>
                <w:sz w:val="24"/>
                <w:szCs w:val="24"/>
              </w:rPr>
            </w:pPr>
            <w:r w:rsidRPr="00ED2F87">
              <w:rPr>
                <w:rFonts w:ascii="Times New Roman" w:hAnsi="Times New Roman" w:cs="Times New Roman"/>
                <w:sz w:val="24"/>
                <w:szCs w:val="24"/>
              </w:rPr>
              <w:t>Măsuri de implementare</w:t>
            </w:r>
          </w:p>
        </w:tc>
      </w:tr>
      <w:tr w:rsidR="005A0798" w:rsidRPr="00ED2F87" w:rsidTr="00CF19DB">
        <w:trPr>
          <w:cantSplit/>
          <w:trHeight w:val="1131"/>
        </w:trPr>
        <w:tc>
          <w:tcPr>
            <w:tcW w:w="3289" w:type="dxa"/>
            <w:tcBorders>
              <w:top w:val="single" w:sz="4" w:space="0" w:color="000000"/>
              <w:left w:val="single" w:sz="4" w:space="0" w:color="000000"/>
              <w:bottom w:val="single" w:sz="4" w:space="0" w:color="000000"/>
            </w:tcBorders>
            <w:vAlign w:val="center"/>
          </w:tcPr>
          <w:p w:rsidR="005A0798" w:rsidRPr="00ED2F87" w:rsidRDefault="005A0798" w:rsidP="009D3AF8">
            <w:pPr>
              <w:jc w:val="both"/>
            </w:pPr>
            <w:r w:rsidRPr="00ED2F87">
              <w:rPr>
                <w:b/>
              </w:rPr>
              <w:t>1. Măsuri de punere în aplicare a proiectului de act normativ de către autorită</w:t>
            </w:r>
            <w:r w:rsidR="00D21842" w:rsidRPr="00ED2F87">
              <w:rPr>
                <w:b/>
              </w:rPr>
              <w:t>ț</w:t>
            </w:r>
            <w:r w:rsidRPr="00ED2F87">
              <w:rPr>
                <w:b/>
              </w:rPr>
              <w:t>ile administra</w:t>
            </w:r>
            <w:r w:rsidR="00D21842" w:rsidRPr="00ED2F87">
              <w:rPr>
                <w:b/>
              </w:rPr>
              <w:t>ț</w:t>
            </w:r>
            <w:r w:rsidRPr="00ED2F87">
              <w:rPr>
                <w:b/>
              </w:rPr>
              <w:t xml:space="preserve">iei publice centrale </w:t>
            </w:r>
            <w:r w:rsidR="00D21842" w:rsidRPr="00ED2F87">
              <w:rPr>
                <w:b/>
              </w:rPr>
              <w:t>ș</w:t>
            </w:r>
            <w:r w:rsidRPr="00ED2F87">
              <w:rPr>
                <w:b/>
              </w:rPr>
              <w:t>i/sau locale - înfiin</w:t>
            </w:r>
            <w:r w:rsidR="00D21842" w:rsidRPr="00ED2F87">
              <w:rPr>
                <w:b/>
              </w:rPr>
              <w:t>ț</w:t>
            </w:r>
            <w:r w:rsidRPr="00ED2F87">
              <w:rPr>
                <w:b/>
              </w:rPr>
              <w:t>area unor noi organisme sau extinderea competen</w:t>
            </w:r>
            <w:r w:rsidR="00D21842" w:rsidRPr="00ED2F87">
              <w:rPr>
                <w:b/>
              </w:rPr>
              <w:t>ț</w:t>
            </w:r>
            <w:r w:rsidRPr="00ED2F87">
              <w:rPr>
                <w:b/>
              </w:rPr>
              <w:t>elor institu</w:t>
            </w:r>
            <w:r w:rsidR="00D21842" w:rsidRPr="00ED2F87">
              <w:rPr>
                <w:b/>
              </w:rPr>
              <w:t>ț</w:t>
            </w:r>
            <w:r w:rsidRPr="00ED2F87">
              <w:rPr>
                <w:b/>
              </w:rPr>
              <w:t>iilor existente</w:t>
            </w:r>
          </w:p>
        </w:tc>
        <w:tc>
          <w:tcPr>
            <w:tcW w:w="6776" w:type="dxa"/>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2A211F">
            <w:pPr>
              <w:jc w:val="both"/>
            </w:pPr>
            <w:r w:rsidRPr="00ED2F87">
              <w:t>Proiectul urmează a fi avizat de către Ministerul</w:t>
            </w:r>
            <w:r w:rsidR="00622267" w:rsidRPr="00ED2F87">
              <w:t xml:space="preserve"> </w:t>
            </w:r>
            <w:r w:rsidRPr="00ED2F87">
              <w:t>Apărării Naționale, Ministerul Afacerilor Interne,</w:t>
            </w:r>
            <w:r w:rsidR="00A843E3" w:rsidRPr="00ED2F87">
              <w:t xml:space="preserve"> </w:t>
            </w:r>
            <w:r w:rsidRPr="00ED2F87">
              <w:t xml:space="preserve"> Serviciul Român de Informații,</w:t>
            </w:r>
            <w:r w:rsidR="00A843E3" w:rsidRPr="00ED2F87">
              <w:t xml:space="preserve"> Serviciul de Informații Externe,</w:t>
            </w:r>
            <w:r w:rsidRPr="00ED2F87">
              <w:t xml:space="preserve"> </w:t>
            </w:r>
            <w:r w:rsidR="00A843E3" w:rsidRPr="00ED2F87">
              <w:t xml:space="preserve">Serviciul de Telecomunicații Speciale, Serviciul de Protecție și Pază, Ministerul Afacerilor Externe, </w:t>
            </w:r>
            <w:bookmarkStart w:id="2" w:name="_Hlk500401870"/>
            <w:r w:rsidR="00A36F21" w:rsidRPr="00ED2F87">
              <w:t xml:space="preserve">Ministerul Muncii și Justiției Sociale, Ministerul Finanțelor Publice, </w:t>
            </w:r>
            <w:bookmarkEnd w:id="2"/>
            <w:r w:rsidRPr="00ED2F87">
              <w:t>Ministerul Justi</w:t>
            </w:r>
            <w:r w:rsidR="00D21842" w:rsidRPr="00ED2F87">
              <w:t>ț</w:t>
            </w:r>
            <w:r w:rsidRPr="00ED2F87">
              <w:t>iei</w:t>
            </w:r>
            <w:r w:rsidR="00AF19CA" w:rsidRPr="00ED2F87">
              <w:t>.</w:t>
            </w:r>
          </w:p>
        </w:tc>
      </w:tr>
      <w:tr w:rsidR="005A0798" w:rsidRPr="00ED2F87" w:rsidTr="00CF19DB">
        <w:trPr>
          <w:cantSplit/>
          <w:trHeight w:val="324"/>
        </w:trPr>
        <w:tc>
          <w:tcPr>
            <w:tcW w:w="3289" w:type="dxa"/>
            <w:tcBorders>
              <w:top w:val="single" w:sz="4" w:space="0" w:color="000000"/>
              <w:left w:val="single" w:sz="4" w:space="0" w:color="000000"/>
              <w:bottom w:val="single" w:sz="4" w:space="0" w:color="000000"/>
            </w:tcBorders>
            <w:vAlign w:val="center"/>
          </w:tcPr>
          <w:p w:rsidR="005A0798" w:rsidRPr="00ED2F87" w:rsidRDefault="005A0798" w:rsidP="001A1248">
            <w:pPr>
              <w:rPr>
                <w:b/>
              </w:rPr>
            </w:pPr>
            <w:r w:rsidRPr="00ED2F87">
              <w:rPr>
                <w:b/>
              </w:rPr>
              <w:t>2. Alte informa</w:t>
            </w:r>
            <w:r w:rsidR="00D21842" w:rsidRPr="00ED2F87">
              <w:rPr>
                <w:b/>
              </w:rPr>
              <w:t>ț</w:t>
            </w:r>
            <w:r w:rsidRPr="00ED2F87">
              <w:rPr>
                <w:b/>
              </w:rPr>
              <w:t>ii</w:t>
            </w:r>
          </w:p>
        </w:tc>
        <w:tc>
          <w:tcPr>
            <w:tcW w:w="6776" w:type="dxa"/>
            <w:tcBorders>
              <w:top w:val="single" w:sz="4" w:space="0" w:color="000000"/>
              <w:left w:val="single" w:sz="4" w:space="0" w:color="000000"/>
              <w:bottom w:val="single" w:sz="4" w:space="0" w:color="000000"/>
              <w:right w:val="single" w:sz="4" w:space="0" w:color="000000"/>
            </w:tcBorders>
            <w:vAlign w:val="center"/>
          </w:tcPr>
          <w:p w:rsidR="005A0798" w:rsidRPr="00ED2F87" w:rsidRDefault="005A0798" w:rsidP="001A1248">
            <w:pPr>
              <w:snapToGrid w:val="0"/>
              <w:rPr>
                <w:bCs/>
              </w:rPr>
            </w:pPr>
            <w:r w:rsidRPr="00ED2F87">
              <w:rPr>
                <w:bCs/>
              </w:rPr>
              <w:t>Nu au fost identificate</w:t>
            </w:r>
          </w:p>
        </w:tc>
      </w:tr>
    </w:tbl>
    <w:p w:rsidR="00433438" w:rsidRPr="00ED2F87" w:rsidRDefault="009C04E7" w:rsidP="004136AE">
      <w:pPr>
        <w:autoSpaceDE w:val="0"/>
        <w:autoSpaceDN w:val="0"/>
        <w:adjustRightInd w:val="0"/>
        <w:jc w:val="both"/>
      </w:pPr>
      <w:r w:rsidRPr="00ED2F87">
        <w:t>Față</w:t>
      </w:r>
      <w:r w:rsidR="005A0798" w:rsidRPr="00ED2F87">
        <w:t xml:space="preserve"> de cele prezentate mai sus, în temeiul </w:t>
      </w:r>
      <w:r w:rsidR="0026027C" w:rsidRPr="00ED2F87">
        <w:t xml:space="preserve">art. 108 din Constituție </w:t>
      </w:r>
      <w:r w:rsidR="005A0798" w:rsidRPr="00ED2F87">
        <w:t xml:space="preserve">a fost elaborat proiectul de </w:t>
      </w:r>
      <w:r w:rsidR="009E16A6" w:rsidRPr="00ED2F87">
        <w:rPr>
          <w:b/>
        </w:rPr>
        <w:t xml:space="preserve">Hotărâre a Guvernului </w:t>
      </w:r>
      <w:r w:rsidR="009E16A6" w:rsidRPr="00ED2F87">
        <w:rPr>
          <w:b/>
          <w:lang w:val="pt-BR"/>
        </w:rPr>
        <w:t xml:space="preserve">pentru modificarea și completarea </w:t>
      </w:r>
      <w:r w:rsidR="0082164F" w:rsidRPr="00ED2F87">
        <w:rPr>
          <w:b/>
          <w:lang w:val="pt-BR"/>
        </w:rPr>
        <w:t xml:space="preserve">unor acte normative </w:t>
      </w:r>
      <w:r w:rsidR="005A0798" w:rsidRPr="00ED2F87">
        <w:t xml:space="preserve">pe care, dacă </w:t>
      </w:r>
      <w:r w:rsidRPr="00ED2F87">
        <w:t>sunteți</w:t>
      </w:r>
      <w:r w:rsidR="005A0798" w:rsidRPr="00ED2F87">
        <w:t xml:space="preserve"> de acord, vă rugăm sa-l aproba</w:t>
      </w:r>
      <w:r w:rsidR="00A843E3" w:rsidRPr="00ED2F87">
        <w:t>ț</w:t>
      </w:r>
      <w:r w:rsidR="005A0798" w:rsidRPr="00ED2F87">
        <w:t>i.</w:t>
      </w:r>
    </w:p>
    <w:p w:rsidR="007C1932" w:rsidRPr="00ED2F87" w:rsidRDefault="007C1932" w:rsidP="007C1932">
      <w:pPr>
        <w:spacing w:after="120"/>
        <w:jc w:val="center"/>
        <w:rPr>
          <w:b/>
        </w:rPr>
      </w:pPr>
      <w:bookmarkStart w:id="3" w:name="_Hlk499629550"/>
      <w:r w:rsidRPr="00ED2F87">
        <w:rPr>
          <w:b/>
        </w:rPr>
        <w:t>MINISTRUL ECONOMIEI</w:t>
      </w:r>
    </w:p>
    <w:p w:rsidR="007C1932" w:rsidRPr="00ED2F87" w:rsidRDefault="007C1932" w:rsidP="007C1932">
      <w:pPr>
        <w:jc w:val="center"/>
        <w:rPr>
          <w:b/>
        </w:rPr>
      </w:pPr>
      <w:r w:rsidRPr="00ED2F87">
        <w:rPr>
          <w:b/>
        </w:rPr>
        <w:t>Dănuț ANDRUȘCĂ</w:t>
      </w:r>
    </w:p>
    <w:p w:rsidR="007C1932" w:rsidRPr="00ED2F87" w:rsidRDefault="007C1932" w:rsidP="007C1932">
      <w:pPr>
        <w:rPr>
          <w:b/>
        </w:rPr>
      </w:pPr>
    </w:p>
    <w:p w:rsidR="007C1932" w:rsidRPr="00ED2F87" w:rsidRDefault="007C1932" w:rsidP="007C1932">
      <w:pPr>
        <w:jc w:val="center"/>
        <w:rPr>
          <w:b/>
          <w:u w:val="single"/>
        </w:rPr>
      </w:pPr>
      <w:r w:rsidRPr="00ED2F87">
        <w:rPr>
          <w:b/>
          <w:u w:val="single"/>
        </w:rPr>
        <w:t xml:space="preserve">AVIZEAZĂ: </w:t>
      </w:r>
    </w:p>
    <w:p w:rsidR="007C1932" w:rsidRPr="00ED2F87" w:rsidRDefault="007C1932" w:rsidP="007C1932">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7C1932" w:rsidRPr="00ED2F87" w:rsidTr="002C07D9">
        <w:tc>
          <w:tcPr>
            <w:tcW w:w="5097" w:type="dxa"/>
          </w:tcPr>
          <w:p w:rsidR="007C1932" w:rsidRPr="00ED2F87" w:rsidRDefault="007C1932" w:rsidP="002C07D9">
            <w:pPr>
              <w:jc w:val="center"/>
              <w:rPr>
                <w:b/>
              </w:rPr>
            </w:pPr>
            <w:r w:rsidRPr="00ED2F87">
              <w:rPr>
                <w:b/>
              </w:rPr>
              <w:t>MINISTRUL APĂRĂRII NAȚIONALE</w:t>
            </w:r>
          </w:p>
          <w:p w:rsidR="007C1932" w:rsidRPr="00ED2F87" w:rsidRDefault="007C1932" w:rsidP="002C07D9">
            <w:pPr>
              <w:jc w:val="center"/>
              <w:rPr>
                <w:b/>
              </w:rPr>
            </w:pPr>
          </w:p>
          <w:p w:rsidR="007C1932" w:rsidRPr="00ED2F87" w:rsidRDefault="007C1932" w:rsidP="002C07D9">
            <w:pPr>
              <w:jc w:val="center"/>
              <w:rPr>
                <w:b/>
              </w:rPr>
            </w:pPr>
            <w:r w:rsidRPr="00ED2F87">
              <w:rPr>
                <w:b/>
              </w:rPr>
              <w:t>Mihai-Viorel FIFOR</w:t>
            </w:r>
          </w:p>
          <w:p w:rsidR="007C1932" w:rsidRPr="00ED2F87" w:rsidRDefault="007C1932" w:rsidP="002C07D9">
            <w:pPr>
              <w:jc w:val="center"/>
              <w:rPr>
                <w:b/>
                <w:u w:val="single"/>
              </w:rPr>
            </w:pPr>
          </w:p>
          <w:p w:rsidR="007C1932" w:rsidRPr="00ED2F87" w:rsidRDefault="007C1932" w:rsidP="002C07D9">
            <w:pPr>
              <w:jc w:val="center"/>
              <w:rPr>
                <w:b/>
                <w:u w:val="single"/>
              </w:rPr>
            </w:pPr>
          </w:p>
        </w:tc>
        <w:tc>
          <w:tcPr>
            <w:tcW w:w="5098" w:type="dxa"/>
          </w:tcPr>
          <w:p w:rsidR="007C1932" w:rsidRPr="00ED2F87" w:rsidRDefault="007C1932" w:rsidP="002C07D9">
            <w:pPr>
              <w:jc w:val="center"/>
              <w:rPr>
                <w:b/>
              </w:rPr>
            </w:pPr>
            <w:r w:rsidRPr="00ED2F87">
              <w:rPr>
                <w:b/>
              </w:rPr>
              <w:t>MINISTRUL AFACERILOR INTERNE</w:t>
            </w:r>
          </w:p>
          <w:p w:rsidR="007C1932" w:rsidRPr="00ED2F87" w:rsidRDefault="007C1932" w:rsidP="002C07D9">
            <w:pPr>
              <w:jc w:val="center"/>
              <w:rPr>
                <w:b/>
              </w:rPr>
            </w:pPr>
          </w:p>
          <w:p w:rsidR="007C1932" w:rsidRPr="00ED2F87" w:rsidRDefault="007C1932" w:rsidP="002C07D9">
            <w:pPr>
              <w:jc w:val="center"/>
              <w:rPr>
                <w:b/>
                <w:u w:val="single"/>
              </w:rPr>
            </w:pPr>
            <w:r w:rsidRPr="00ED2F87">
              <w:rPr>
                <w:b/>
              </w:rPr>
              <w:t>Carmen Daniela DAN</w:t>
            </w:r>
          </w:p>
        </w:tc>
      </w:tr>
      <w:tr w:rsidR="007C1932" w:rsidRPr="00ED2F87" w:rsidTr="002C07D9">
        <w:tc>
          <w:tcPr>
            <w:tcW w:w="5097" w:type="dxa"/>
          </w:tcPr>
          <w:p w:rsidR="007C1932" w:rsidRPr="00ED2F87" w:rsidRDefault="007C1932" w:rsidP="002C07D9">
            <w:pPr>
              <w:jc w:val="center"/>
              <w:rPr>
                <w:b/>
              </w:rPr>
            </w:pPr>
            <w:r w:rsidRPr="00ED2F87">
              <w:rPr>
                <w:b/>
              </w:rPr>
              <w:t>DIRECTORUL SERVICIULUI ROMÂN DE INFORMAȚII</w:t>
            </w:r>
          </w:p>
          <w:p w:rsidR="007C1932" w:rsidRPr="00ED2F87" w:rsidRDefault="007C1932" w:rsidP="002C07D9">
            <w:pPr>
              <w:jc w:val="center"/>
              <w:rPr>
                <w:b/>
              </w:rPr>
            </w:pPr>
          </w:p>
          <w:p w:rsidR="007C1932" w:rsidRPr="00ED2F87" w:rsidRDefault="007C1932" w:rsidP="002C07D9">
            <w:pPr>
              <w:jc w:val="center"/>
              <w:rPr>
                <w:b/>
              </w:rPr>
            </w:pPr>
            <w:r w:rsidRPr="00ED2F87">
              <w:rPr>
                <w:b/>
              </w:rPr>
              <w:t>Eduard Raul HELLVIG</w:t>
            </w:r>
          </w:p>
          <w:p w:rsidR="007C1932" w:rsidRPr="00ED2F87" w:rsidRDefault="007C1932" w:rsidP="002C07D9">
            <w:pPr>
              <w:jc w:val="center"/>
              <w:rPr>
                <w:b/>
              </w:rPr>
            </w:pPr>
          </w:p>
          <w:p w:rsidR="007C1932" w:rsidRPr="00ED2F87" w:rsidRDefault="007C1932" w:rsidP="002C07D9">
            <w:pPr>
              <w:jc w:val="center"/>
              <w:rPr>
                <w:b/>
                <w:u w:val="single"/>
              </w:rPr>
            </w:pPr>
          </w:p>
        </w:tc>
        <w:tc>
          <w:tcPr>
            <w:tcW w:w="5098" w:type="dxa"/>
          </w:tcPr>
          <w:p w:rsidR="007C1932" w:rsidRPr="00ED2F87" w:rsidRDefault="007C1932" w:rsidP="002C07D9">
            <w:pPr>
              <w:jc w:val="center"/>
              <w:rPr>
                <w:b/>
              </w:rPr>
            </w:pPr>
            <w:r w:rsidRPr="00ED2F87">
              <w:rPr>
                <w:b/>
              </w:rPr>
              <w:t>ADJUNCT AL DIRECTORULUI SERVICIULUI DE INFORMAȚII EXTERNE</w:t>
            </w:r>
          </w:p>
          <w:p w:rsidR="007C1932" w:rsidRPr="00ED2F87" w:rsidRDefault="007C1932" w:rsidP="002C07D9">
            <w:pPr>
              <w:jc w:val="center"/>
              <w:rPr>
                <w:b/>
              </w:rPr>
            </w:pPr>
          </w:p>
          <w:p w:rsidR="007C1932" w:rsidRPr="00ED2F87" w:rsidRDefault="007C1932" w:rsidP="002C07D9">
            <w:pPr>
              <w:jc w:val="center"/>
              <w:rPr>
                <w:b/>
              </w:rPr>
            </w:pPr>
            <w:r w:rsidRPr="00ED2F87">
              <w:rPr>
                <w:b/>
              </w:rPr>
              <w:t>Silviu PREDOIU</w:t>
            </w:r>
          </w:p>
          <w:p w:rsidR="007C1932" w:rsidRPr="00ED2F87" w:rsidRDefault="007C1932" w:rsidP="002C07D9">
            <w:pPr>
              <w:jc w:val="center"/>
              <w:rPr>
                <w:b/>
                <w:u w:val="single"/>
              </w:rPr>
            </w:pPr>
          </w:p>
        </w:tc>
      </w:tr>
      <w:tr w:rsidR="007C1932" w:rsidRPr="00ED2F87" w:rsidTr="002C07D9">
        <w:tc>
          <w:tcPr>
            <w:tcW w:w="5097" w:type="dxa"/>
          </w:tcPr>
          <w:p w:rsidR="007C1932" w:rsidRPr="00ED2F87" w:rsidRDefault="007C1932" w:rsidP="002C07D9">
            <w:pPr>
              <w:jc w:val="center"/>
              <w:rPr>
                <w:b/>
              </w:rPr>
            </w:pPr>
            <w:r w:rsidRPr="00ED2F87">
              <w:rPr>
                <w:b/>
              </w:rPr>
              <w:t>DIRECTORUL SERVICIULUI DE TELECOMUNICAȚII SPECIALE</w:t>
            </w:r>
          </w:p>
          <w:p w:rsidR="007C1932" w:rsidRPr="00ED2F87" w:rsidRDefault="007C1932" w:rsidP="002C07D9">
            <w:pPr>
              <w:jc w:val="center"/>
              <w:rPr>
                <w:b/>
              </w:rPr>
            </w:pPr>
          </w:p>
          <w:p w:rsidR="007C1932" w:rsidRPr="00ED2F87" w:rsidRDefault="007C1932" w:rsidP="002C07D9">
            <w:pPr>
              <w:jc w:val="center"/>
              <w:rPr>
                <w:b/>
              </w:rPr>
            </w:pPr>
            <w:r w:rsidRPr="00ED2F87">
              <w:rPr>
                <w:b/>
              </w:rPr>
              <w:t>Ionel – Sorinel VASILC</w:t>
            </w:r>
            <w:r w:rsidR="002A2E9B" w:rsidRPr="00ED2F87">
              <w:rPr>
                <w:b/>
              </w:rPr>
              <w:t>A</w:t>
            </w:r>
          </w:p>
          <w:p w:rsidR="007C1932" w:rsidRPr="00ED2F87" w:rsidRDefault="007C1932" w:rsidP="002C07D9">
            <w:pPr>
              <w:jc w:val="center"/>
              <w:rPr>
                <w:b/>
              </w:rPr>
            </w:pPr>
          </w:p>
          <w:p w:rsidR="007C1932" w:rsidRPr="00ED2F87" w:rsidRDefault="007C1932" w:rsidP="002C07D9">
            <w:pPr>
              <w:jc w:val="center"/>
              <w:rPr>
                <w:b/>
                <w:u w:val="single"/>
              </w:rPr>
            </w:pPr>
          </w:p>
        </w:tc>
        <w:tc>
          <w:tcPr>
            <w:tcW w:w="5098" w:type="dxa"/>
          </w:tcPr>
          <w:p w:rsidR="007C1932" w:rsidRPr="00ED2F87" w:rsidRDefault="007C1932" w:rsidP="002C07D9">
            <w:pPr>
              <w:jc w:val="center"/>
              <w:rPr>
                <w:b/>
              </w:rPr>
            </w:pPr>
            <w:r w:rsidRPr="00ED2F87">
              <w:rPr>
                <w:b/>
              </w:rPr>
              <w:t>DIRECTORUL SERVICIULUI DE PROTECȚIE ȘI PAZĂ</w:t>
            </w:r>
          </w:p>
          <w:p w:rsidR="007C1932" w:rsidRPr="00ED2F87" w:rsidRDefault="007C1932" w:rsidP="002C07D9">
            <w:pPr>
              <w:jc w:val="center"/>
              <w:rPr>
                <w:b/>
              </w:rPr>
            </w:pPr>
          </w:p>
          <w:p w:rsidR="007C1932" w:rsidRPr="00ED2F87" w:rsidRDefault="007C1932" w:rsidP="002C07D9">
            <w:pPr>
              <w:jc w:val="center"/>
              <w:rPr>
                <w:b/>
              </w:rPr>
            </w:pPr>
            <w:r w:rsidRPr="00ED2F87">
              <w:rPr>
                <w:b/>
              </w:rPr>
              <w:t>Lucian – Silvan PAHONȚU</w:t>
            </w:r>
          </w:p>
          <w:p w:rsidR="007C1932" w:rsidRPr="00ED2F87" w:rsidRDefault="007C1932" w:rsidP="002C07D9">
            <w:pPr>
              <w:jc w:val="center"/>
              <w:rPr>
                <w:b/>
                <w:u w:val="single"/>
              </w:rPr>
            </w:pPr>
          </w:p>
        </w:tc>
      </w:tr>
      <w:tr w:rsidR="007C1932" w:rsidRPr="00ED2F87" w:rsidTr="002C07D9">
        <w:tc>
          <w:tcPr>
            <w:tcW w:w="5097" w:type="dxa"/>
          </w:tcPr>
          <w:p w:rsidR="007C1932" w:rsidRPr="00ED2F87" w:rsidRDefault="007C1932" w:rsidP="002C07D9">
            <w:pPr>
              <w:jc w:val="center"/>
              <w:rPr>
                <w:b/>
              </w:rPr>
            </w:pPr>
            <w:r w:rsidRPr="00ED2F87">
              <w:rPr>
                <w:b/>
              </w:rPr>
              <w:t>MINISTRUL AFACERILOR EXTERNE</w:t>
            </w:r>
          </w:p>
          <w:p w:rsidR="007C1932" w:rsidRPr="00ED2F87" w:rsidRDefault="007C1932" w:rsidP="002C07D9">
            <w:pPr>
              <w:jc w:val="center"/>
              <w:rPr>
                <w:b/>
              </w:rPr>
            </w:pPr>
          </w:p>
          <w:p w:rsidR="007C1932" w:rsidRPr="00ED2F87" w:rsidRDefault="007C1932" w:rsidP="002C07D9">
            <w:pPr>
              <w:jc w:val="center"/>
              <w:rPr>
                <w:b/>
                <w:u w:val="single"/>
              </w:rPr>
            </w:pPr>
            <w:r w:rsidRPr="00ED2F87">
              <w:rPr>
                <w:b/>
              </w:rPr>
              <w:t>Teodor – Viorel MELEȘCANU</w:t>
            </w:r>
          </w:p>
        </w:tc>
        <w:tc>
          <w:tcPr>
            <w:tcW w:w="5098" w:type="dxa"/>
          </w:tcPr>
          <w:p w:rsidR="007C1932" w:rsidRPr="00ED2F87" w:rsidRDefault="007C1932" w:rsidP="002C07D9">
            <w:pPr>
              <w:jc w:val="center"/>
              <w:rPr>
                <w:b/>
              </w:rPr>
            </w:pPr>
            <w:r w:rsidRPr="00ED2F87">
              <w:rPr>
                <w:b/>
              </w:rPr>
              <w:t>MINISTERUL JUSTIȚIEI</w:t>
            </w:r>
          </w:p>
          <w:p w:rsidR="007C1932" w:rsidRPr="00ED2F87" w:rsidRDefault="007C1932" w:rsidP="002C07D9">
            <w:pPr>
              <w:jc w:val="center"/>
              <w:rPr>
                <w:b/>
              </w:rPr>
            </w:pPr>
          </w:p>
          <w:p w:rsidR="007C1932" w:rsidRPr="00ED2F87" w:rsidRDefault="007C1932" w:rsidP="002C07D9">
            <w:pPr>
              <w:jc w:val="center"/>
              <w:rPr>
                <w:b/>
                <w:u w:val="single"/>
              </w:rPr>
            </w:pPr>
            <w:r w:rsidRPr="00ED2F87">
              <w:rPr>
                <w:b/>
              </w:rPr>
              <w:t>Tudorel TOADER</w:t>
            </w:r>
          </w:p>
        </w:tc>
      </w:tr>
    </w:tbl>
    <w:p w:rsidR="007C1932" w:rsidRPr="00ED2F87" w:rsidRDefault="007C1932" w:rsidP="007C1932">
      <w:pPr>
        <w:rPr>
          <w:b/>
        </w:rPr>
      </w:pPr>
      <w:r w:rsidRPr="00ED2F87">
        <w:rPr>
          <w:b/>
        </w:rPr>
        <w:lastRenderedPageBreak/>
        <w:t xml:space="preserve">                                 </w:t>
      </w:r>
      <w:bookmarkEnd w:id="3"/>
    </w:p>
    <w:p w:rsidR="007C1932" w:rsidRPr="00ED2F87" w:rsidRDefault="007C1932" w:rsidP="007C1932">
      <w:pPr>
        <w:rPr>
          <w:b/>
        </w:rPr>
      </w:pPr>
    </w:p>
    <w:p w:rsidR="000A358B" w:rsidRDefault="000A358B" w:rsidP="007C1932">
      <w:pPr>
        <w:jc w:val="center"/>
        <w:rPr>
          <w:b/>
          <w:u w:val="single"/>
        </w:rPr>
      </w:pPr>
    </w:p>
    <w:p w:rsidR="000A358B" w:rsidRDefault="000A358B" w:rsidP="007C1932">
      <w:pPr>
        <w:jc w:val="center"/>
        <w:rPr>
          <w:b/>
          <w:u w:val="single"/>
        </w:rPr>
      </w:pPr>
    </w:p>
    <w:p w:rsidR="000A358B" w:rsidRDefault="000A358B" w:rsidP="007C1932">
      <w:pPr>
        <w:jc w:val="center"/>
        <w:rPr>
          <w:b/>
          <w:u w:val="single"/>
        </w:rPr>
      </w:pPr>
    </w:p>
    <w:p w:rsidR="000A358B" w:rsidRDefault="000A358B" w:rsidP="007C1932">
      <w:pPr>
        <w:jc w:val="center"/>
        <w:rPr>
          <w:b/>
          <w:u w:val="single"/>
        </w:rPr>
      </w:pPr>
    </w:p>
    <w:sectPr w:rsidR="000A358B" w:rsidSect="00063D82">
      <w:headerReference w:type="even" r:id="rId7"/>
      <w:headerReference w:type="default" r:id="rId8"/>
      <w:footerReference w:type="even" r:id="rId9"/>
      <w:footerReference w:type="default" r:id="rId10"/>
      <w:headerReference w:type="first" r:id="rId11"/>
      <w:footerReference w:type="first" r:id="rId12"/>
      <w:pgSz w:w="11907" w:h="16840" w:code="9"/>
      <w:pgMar w:top="567" w:right="851" w:bottom="567"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0B" w:rsidRDefault="00AD280B">
      <w:r>
        <w:separator/>
      </w:r>
    </w:p>
  </w:endnote>
  <w:endnote w:type="continuationSeparator" w:id="0">
    <w:p w:rsidR="00AD280B" w:rsidRDefault="00A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izQuaF">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Footer"/>
      <w:jc w:val="center"/>
    </w:pPr>
    <w:r>
      <w:fldChar w:fldCharType="begin"/>
    </w:r>
    <w:r>
      <w:instrText xml:space="preserve"> PAGE   \* MERGEFORMAT </w:instrText>
    </w:r>
    <w:r>
      <w:fldChar w:fldCharType="separate"/>
    </w:r>
    <w:r w:rsidR="00F11A26">
      <w:rPr>
        <w:noProof/>
      </w:rPr>
      <w:t>1</w:t>
    </w:r>
    <w:r>
      <w:rPr>
        <w:noProof/>
      </w:rPr>
      <w:fldChar w:fldCharType="end"/>
    </w:r>
  </w:p>
  <w:p w:rsidR="009D765D" w:rsidRDefault="009D76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0B" w:rsidRDefault="00AD280B">
      <w:r>
        <w:separator/>
      </w:r>
    </w:p>
  </w:footnote>
  <w:footnote w:type="continuationSeparator" w:id="0">
    <w:p w:rsidR="00AD280B" w:rsidRDefault="00AD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5D" w:rsidRDefault="009D7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cs="Times New Roman"/>
        <w:b/>
        <w:sz w:val="24"/>
      </w:rPr>
    </w:lvl>
  </w:abstractNum>
  <w:abstractNum w:abstractNumId="3" w15:restartNumberingAfterBreak="0">
    <w:nsid w:val="00F5712E"/>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4" w15:restartNumberingAfterBreak="0">
    <w:nsid w:val="08BB1A16"/>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5" w15:restartNumberingAfterBreak="0">
    <w:nsid w:val="14400013"/>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15:restartNumberingAfterBreak="0">
    <w:nsid w:val="194C3C45"/>
    <w:multiLevelType w:val="hybridMultilevel"/>
    <w:tmpl w:val="5DB443B8"/>
    <w:lvl w:ilvl="0" w:tplc="724402D4">
      <w:start w:val="1"/>
      <w:numFmt w:val="upperRoman"/>
      <w:lvlText w:val="%1."/>
      <w:lvlJc w:val="righ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CDF1F72"/>
    <w:multiLevelType w:val="singleLevel"/>
    <w:tmpl w:val="00000004"/>
    <w:lvl w:ilvl="0">
      <w:start w:val="1"/>
      <w:numFmt w:val="lowerLetter"/>
      <w:lvlText w:val="%1)"/>
      <w:lvlJc w:val="left"/>
      <w:pPr>
        <w:tabs>
          <w:tab w:val="num" w:pos="360"/>
        </w:tabs>
        <w:ind w:left="360" w:hanging="360"/>
      </w:pPr>
      <w:rPr>
        <w:rFonts w:cs="Times New Roman"/>
        <w:b/>
        <w:sz w:val="24"/>
      </w:rPr>
    </w:lvl>
  </w:abstractNum>
  <w:abstractNum w:abstractNumId="8" w15:restartNumberingAfterBreak="0">
    <w:nsid w:val="31E84320"/>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15:restartNumberingAfterBreak="0">
    <w:nsid w:val="35606DEF"/>
    <w:multiLevelType w:val="hybridMultilevel"/>
    <w:tmpl w:val="DEA4D05A"/>
    <w:lvl w:ilvl="0" w:tplc="A3F68A9A">
      <w:start w:val="1"/>
      <w:numFmt w:val="lowerLetter"/>
      <w:lvlText w:val="%1)"/>
      <w:lvlJc w:val="left"/>
      <w:pPr>
        <w:ind w:left="720" w:hanging="360"/>
      </w:pPr>
      <w:rPr>
        <w:rFonts w:cs="Times New Roman" w:hint="default"/>
        <w:b/>
        <w:i w:val="0"/>
        <w:sz w:val="24"/>
      </w:rPr>
    </w:lvl>
    <w:lvl w:ilvl="1" w:tplc="2E3AD21E">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92912C4"/>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15:restartNumberingAfterBreak="0">
    <w:nsid w:val="3DD265AA"/>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12" w15:restartNumberingAfterBreak="0">
    <w:nsid w:val="462779E7"/>
    <w:multiLevelType w:val="hybridMultilevel"/>
    <w:tmpl w:val="BFE8CAAA"/>
    <w:name w:val="WW8Num42"/>
    <w:lvl w:ilvl="0" w:tplc="D9B48742">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3" w15:restartNumberingAfterBreak="0">
    <w:nsid w:val="492B3B15"/>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4DAD3A5B"/>
    <w:multiLevelType w:val="hybridMultilevel"/>
    <w:tmpl w:val="DF008AEC"/>
    <w:lvl w:ilvl="0" w:tplc="1F80B220">
      <w:start w:val="1"/>
      <w:numFmt w:val="decimal"/>
      <w:lvlText w:val="%1."/>
      <w:lvlJc w:val="left"/>
      <w:pPr>
        <w:ind w:left="720" w:hanging="360"/>
      </w:pPr>
      <w:rPr>
        <w:rFonts w:cs="Times New Roman"/>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 w15:restartNumberingAfterBreak="0">
    <w:nsid w:val="591308CE"/>
    <w:multiLevelType w:val="singleLevel"/>
    <w:tmpl w:val="00000004"/>
    <w:lvl w:ilvl="0">
      <w:start w:val="1"/>
      <w:numFmt w:val="lowerLetter"/>
      <w:lvlText w:val="%1)"/>
      <w:lvlJc w:val="left"/>
      <w:pPr>
        <w:tabs>
          <w:tab w:val="num" w:pos="360"/>
        </w:tabs>
        <w:ind w:left="360" w:hanging="360"/>
      </w:pPr>
      <w:rPr>
        <w:rFonts w:cs="Times New Roman"/>
        <w:b/>
        <w:sz w:val="24"/>
      </w:rPr>
    </w:lvl>
  </w:abstractNum>
  <w:abstractNum w:abstractNumId="16" w15:restartNumberingAfterBreak="0">
    <w:nsid w:val="65484608"/>
    <w:multiLevelType w:val="singleLevel"/>
    <w:tmpl w:val="E5BE383E"/>
    <w:lvl w:ilvl="0">
      <w:start w:val="1"/>
      <w:numFmt w:val="lowerRoman"/>
      <w:lvlText w:val="(%1)"/>
      <w:lvlJc w:val="left"/>
      <w:pPr>
        <w:tabs>
          <w:tab w:val="num" w:pos="644"/>
        </w:tabs>
        <w:ind w:left="644" w:hanging="360"/>
      </w:pPr>
      <w:rPr>
        <w:rFonts w:ascii="Times New Roman" w:hAnsi="Times New Roman" w:cs="Times New Roman" w:hint="default"/>
        <w:b/>
        <w:i w:val="0"/>
        <w:sz w:val="24"/>
      </w:rPr>
    </w:lvl>
  </w:abstractNum>
  <w:abstractNum w:abstractNumId="17" w15:restartNumberingAfterBreak="0">
    <w:nsid w:val="65AB1EB9"/>
    <w:multiLevelType w:val="hybridMultilevel"/>
    <w:tmpl w:val="4B38FA1A"/>
    <w:lvl w:ilvl="0" w:tplc="8A1E0AE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AD41047"/>
    <w:multiLevelType w:val="singleLevel"/>
    <w:tmpl w:val="00000004"/>
    <w:lvl w:ilvl="0">
      <w:start w:val="1"/>
      <w:numFmt w:val="lowerLetter"/>
      <w:lvlText w:val="%1)"/>
      <w:lvlJc w:val="left"/>
      <w:pPr>
        <w:tabs>
          <w:tab w:val="num" w:pos="360"/>
        </w:tabs>
        <w:ind w:left="360" w:hanging="360"/>
      </w:pPr>
      <w:rPr>
        <w:rFonts w:cs="Times New Roman"/>
        <w:b/>
        <w:sz w:val="24"/>
      </w:rPr>
    </w:lvl>
  </w:abstractNum>
  <w:abstractNum w:abstractNumId="19" w15:restartNumberingAfterBreak="0">
    <w:nsid w:val="77140342"/>
    <w:multiLevelType w:val="hybridMultilevel"/>
    <w:tmpl w:val="A1FCABD8"/>
    <w:lvl w:ilvl="0" w:tplc="069CD39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16"/>
  </w:num>
  <w:num w:numId="4">
    <w:abstractNumId w:val="15"/>
  </w:num>
  <w:num w:numId="5">
    <w:abstractNumId w:val="3"/>
  </w:num>
  <w:num w:numId="6">
    <w:abstractNumId w:val="11"/>
  </w:num>
  <w:num w:numId="7">
    <w:abstractNumId w:val="4"/>
  </w:num>
  <w:num w:numId="8">
    <w:abstractNumId w:val="18"/>
  </w:num>
  <w:num w:numId="9">
    <w:abstractNumId w:val="7"/>
  </w:num>
  <w:num w:numId="10">
    <w:abstractNumId w:val="19"/>
  </w:num>
  <w:num w:numId="11">
    <w:abstractNumId w:val="17"/>
  </w:num>
  <w:num w:numId="12">
    <w:abstractNumId w:val="9"/>
  </w:num>
  <w:num w:numId="13">
    <w:abstractNumId w:val="14"/>
  </w:num>
  <w:num w:numId="14">
    <w:abstractNumId w:val="5"/>
  </w:num>
  <w:num w:numId="15">
    <w:abstractNumId w:val="8"/>
  </w:num>
  <w:num w:numId="16">
    <w:abstractNumId w:val="10"/>
  </w:num>
  <w:num w:numId="17">
    <w:abstractNumId w:val="13"/>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E8"/>
    <w:rsid w:val="00000CD0"/>
    <w:rsid w:val="00003E43"/>
    <w:rsid w:val="00005A28"/>
    <w:rsid w:val="00006995"/>
    <w:rsid w:val="0001309D"/>
    <w:rsid w:val="00021CC8"/>
    <w:rsid w:val="00025CC2"/>
    <w:rsid w:val="00027E22"/>
    <w:rsid w:val="00033F5E"/>
    <w:rsid w:val="000352B3"/>
    <w:rsid w:val="00035F46"/>
    <w:rsid w:val="00042E54"/>
    <w:rsid w:val="000430AB"/>
    <w:rsid w:val="0004385B"/>
    <w:rsid w:val="000509E5"/>
    <w:rsid w:val="000520B5"/>
    <w:rsid w:val="0005269F"/>
    <w:rsid w:val="00057229"/>
    <w:rsid w:val="00057236"/>
    <w:rsid w:val="00063D82"/>
    <w:rsid w:val="00064D75"/>
    <w:rsid w:val="00071A44"/>
    <w:rsid w:val="00073252"/>
    <w:rsid w:val="00076553"/>
    <w:rsid w:val="000777D2"/>
    <w:rsid w:val="00080A10"/>
    <w:rsid w:val="0008109D"/>
    <w:rsid w:val="00083B39"/>
    <w:rsid w:val="000869AA"/>
    <w:rsid w:val="000951D1"/>
    <w:rsid w:val="000952D4"/>
    <w:rsid w:val="000A0EBA"/>
    <w:rsid w:val="000A358B"/>
    <w:rsid w:val="000A7835"/>
    <w:rsid w:val="000B2572"/>
    <w:rsid w:val="000B6F8D"/>
    <w:rsid w:val="000C1F46"/>
    <w:rsid w:val="000C2058"/>
    <w:rsid w:val="000C2F82"/>
    <w:rsid w:val="000C3A23"/>
    <w:rsid w:val="000C6E8C"/>
    <w:rsid w:val="000D6F79"/>
    <w:rsid w:val="000D70B0"/>
    <w:rsid w:val="000E04A7"/>
    <w:rsid w:val="000F207A"/>
    <w:rsid w:val="00100D95"/>
    <w:rsid w:val="00104601"/>
    <w:rsid w:val="00104620"/>
    <w:rsid w:val="0011094C"/>
    <w:rsid w:val="001126C0"/>
    <w:rsid w:val="00112AC3"/>
    <w:rsid w:val="00113CBD"/>
    <w:rsid w:val="00117416"/>
    <w:rsid w:val="00120AE4"/>
    <w:rsid w:val="00123F6B"/>
    <w:rsid w:val="00127152"/>
    <w:rsid w:val="00130530"/>
    <w:rsid w:val="001325EE"/>
    <w:rsid w:val="0013306F"/>
    <w:rsid w:val="00133931"/>
    <w:rsid w:val="00135723"/>
    <w:rsid w:val="00135A6E"/>
    <w:rsid w:val="0013642F"/>
    <w:rsid w:val="00136B52"/>
    <w:rsid w:val="00140953"/>
    <w:rsid w:val="00142FE6"/>
    <w:rsid w:val="00144008"/>
    <w:rsid w:val="00147B41"/>
    <w:rsid w:val="0015081D"/>
    <w:rsid w:val="001508E4"/>
    <w:rsid w:val="00154F19"/>
    <w:rsid w:val="00155FCB"/>
    <w:rsid w:val="001626A1"/>
    <w:rsid w:val="001638E7"/>
    <w:rsid w:val="00164BC5"/>
    <w:rsid w:val="00167889"/>
    <w:rsid w:val="0017113E"/>
    <w:rsid w:val="00171A9E"/>
    <w:rsid w:val="00173F62"/>
    <w:rsid w:val="001767D1"/>
    <w:rsid w:val="00177E7A"/>
    <w:rsid w:val="00181A4D"/>
    <w:rsid w:val="00182179"/>
    <w:rsid w:val="001837B8"/>
    <w:rsid w:val="0018713D"/>
    <w:rsid w:val="0019255B"/>
    <w:rsid w:val="0019432C"/>
    <w:rsid w:val="001A1248"/>
    <w:rsid w:val="001A4455"/>
    <w:rsid w:val="001A5CC7"/>
    <w:rsid w:val="001C02F0"/>
    <w:rsid w:val="001C7A0D"/>
    <w:rsid w:val="001D1BAA"/>
    <w:rsid w:val="001D258D"/>
    <w:rsid w:val="001E0FF8"/>
    <w:rsid w:val="001F1BD0"/>
    <w:rsid w:val="001F1DD0"/>
    <w:rsid w:val="001F2524"/>
    <w:rsid w:val="00203F10"/>
    <w:rsid w:val="002078D1"/>
    <w:rsid w:val="002102C4"/>
    <w:rsid w:val="002117EE"/>
    <w:rsid w:val="00212121"/>
    <w:rsid w:val="00214DB5"/>
    <w:rsid w:val="0021690A"/>
    <w:rsid w:val="002176CE"/>
    <w:rsid w:val="002178B2"/>
    <w:rsid w:val="0022616E"/>
    <w:rsid w:val="002267CF"/>
    <w:rsid w:val="0022686F"/>
    <w:rsid w:val="00226C5B"/>
    <w:rsid w:val="0023253A"/>
    <w:rsid w:val="00233A70"/>
    <w:rsid w:val="00233E5A"/>
    <w:rsid w:val="0023492D"/>
    <w:rsid w:val="002456A1"/>
    <w:rsid w:val="002464CC"/>
    <w:rsid w:val="00247864"/>
    <w:rsid w:val="00247B13"/>
    <w:rsid w:val="00247FF2"/>
    <w:rsid w:val="0025200D"/>
    <w:rsid w:val="0025209E"/>
    <w:rsid w:val="00252EEE"/>
    <w:rsid w:val="002533E8"/>
    <w:rsid w:val="00253E9E"/>
    <w:rsid w:val="00255E4B"/>
    <w:rsid w:val="002571EF"/>
    <w:rsid w:val="0026027C"/>
    <w:rsid w:val="00265A14"/>
    <w:rsid w:val="00265F6B"/>
    <w:rsid w:val="00266D6A"/>
    <w:rsid w:val="00267A91"/>
    <w:rsid w:val="0027272D"/>
    <w:rsid w:val="00273068"/>
    <w:rsid w:val="00280F9E"/>
    <w:rsid w:val="002856D5"/>
    <w:rsid w:val="00285A93"/>
    <w:rsid w:val="00287455"/>
    <w:rsid w:val="00291FD5"/>
    <w:rsid w:val="00294665"/>
    <w:rsid w:val="002949AE"/>
    <w:rsid w:val="00296523"/>
    <w:rsid w:val="00297FCE"/>
    <w:rsid w:val="002A211F"/>
    <w:rsid w:val="002A2E9B"/>
    <w:rsid w:val="002A31AF"/>
    <w:rsid w:val="002A3990"/>
    <w:rsid w:val="002A5C3F"/>
    <w:rsid w:val="002A7345"/>
    <w:rsid w:val="002A752B"/>
    <w:rsid w:val="002A7AF0"/>
    <w:rsid w:val="002B2CE4"/>
    <w:rsid w:val="002B2E0F"/>
    <w:rsid w:val="002B75D6"/>
    <w:rsid w:val="002C381F"/>
    <w:rsid w:val="002C5302"/>
    <w:rsid w:val="002C5BDC"/>
    <w:rsid w:val="002C639D"/>
    <w:rsid w:val="002C7290"/>
    <w:rsid w:val="002D3414"/>
    <w:rsid w:val="002D47D7"/>
    <w:rsid w:val="002E09C1"/>
    <w:rsid w:val="002E20A4"/>
    <w:rsid w:val="002E2137"/>
    <w:rsid w:val="002E74BF"/>
    <w:rsid w:val="002E7EF5"/>
    <w:rsid w:val="002F13FE"/>
    <w:rsid w:val="002F44C9"/>
    <w:rsid w:val="002F5FCB"/>
    <w:rsid w:val="002F7BDB"/>
    <w:rsid w:val="00300A33"/>
    <w:rsid w:val="003015D1"/>
    <w:rsid w:val="00302AB6"/>
    <w:rsid w:val="0030679C"/>
    <w:rsid w:val="00306AA8"/>
    <w:rsid w:val="00313F51"/>
    <w:rsid w:val="00314BA4"/>
    <w:rsid w:val="00314C4E"/>
    <w:rsid w:val="0031707C"/>
    <w:rsid w:val="003232DF"/>
    <w:rsid w:val="00326255"/>
    <w:rsid w:val="00327AD9"/>
    <w:rsid w:val="00331EE9"/>
    <w:rsid w:val="003339C8"/>
    <w:rsid w:val="00334B36"/>
    <w:rsid w:val="003364FA"/>
    <w:rsid w:val="0034189F"/>
    <w:rsid w:val="00342880"/>
    <w:rsid w:val="00343732"/>
    <w:rsid w:val="00343B86"/>
    <w:rsid w:val="003459B2"/>
    <w:rsid w:val="00345BEC"/>
    <w:rsid w:val="00351488"/>
    <w:rsid w:val="00353A9F"/>
    <w:rsid w:val="00360631"/>
    <w:rsid w:val="003626E7"/>
    <w:rsid w:val="003739E3"/>
    <w:rsid w:val="003839BE"/>
    <w:rsid w:val="003900E0"/>
    <w:rsid w:val="00396587"/>
    <w:rsid w:val="003A1153"/>
    <w:rsid w:val="003A28DA"/>
    <w:rsid w:val="003A5111"/>
    <w:rsid w:val="003C587F"/>
    <w:rsid w:val="003D0E1C"/>
    <w:rsid w:val="003D1C61"/>
    <w:rsid w:val="003D325C"/>
    <w:rsid w:val="003D4F36"/>
    <w:rsid w:val="003D500D"/>
    <w:rsid w:val="003D62EA"/>
    <w:rsid w:val="003D64B9"/>
    <w:rsid w:val="003E008A"/>
    <w:rsid w:val="003E274C"/>
    <w:rsid w:val="003E32F0"/>
    <w:rsid w:val="003E4473"/>
    <w:rsid w:val="003E79E7"/>
    <w:rsid w:val="003F078C"/>
    <w:rsid w:val="003F172E"/>
    <w:rsid w:val="003F1D28"/>
    <w:rsid w:val="003F2E8E"/>
    <w:rsid w:val="003F4509"/>
    <w:rsid w:val="003F68EB"/>
    <w:rsid w:val="004007DC"/>
    <w:rsid w:val="00400924"/>
    <w:rsid w:val="00400D48"/>
    <w:rsid w:val="004030F4"/>
    <w:rsid w:val="004039C7"/>
    <w:rsid w:val="00410D06"/>
    <w:rsid w:val="00411A11"/>
    <w:rsid w:val="00412948"/>
    <w:rsid w:val="004136AE"/>
    <w:rsid w:val="00413AD9"/>
    <w:rsid w:val="0041540E"/>
    <w:rsid w:val="00415788"/>
    <w:rsid w:val="0041751F"/>
    <w:rsid w:val="00423370"/>
    <w:rsid w:val="00427112"/>
    <w:rsid w:val="00427BAD"/>
    <w:rsid w:val="00430AE0"/>
    <w:rsid w:val="00432F5B"/>
    <w:rsid w:val="00433438"/>
    <w:rsid w:val="00434753"/>
    <w:rsid w:val="00434B9D"/>
    <w:rsid w:val="00435385"/>
    <w:rsid w:val="00445C41"/>
    <w:rsid w:val="00446D2A"/>
    <w:rsid w:val="00452E56"/>
    <w:rsid w:val="00457294"/>
    <w:rsid w:val="004646CD"/>
    <w:rsid w:val="00466AD5"/>
    <w:rsid w:val="00470E4D"/>
    <w:rsid w:val="00480F3B"/>
    <w:rsid w:val="00481D23"/>
    <w:rsid w:val="0048494A"/>
    <w:rsid w:val="004860A2"/>
    <w:rsid w:val="00487D8E"/>
    <w:rsid w:val="004902F0"/>
    <w:rsid w:val="00492DCB"/>
    <w:rsid w:val="0049480F"/>
    <w:rsid w:val="0049531D"/>
    <w:rsid w:val="0049744F"/>
    <w:rsid w:val="004A2BC5"/>
    <w:rsid w:val="004A3554"/>
    <w:rsid w:val="004A4478"/>
    <w:rsid w:val="004A4F93"/>
    <w:rsid w:val="004A6981"/>
    <w:rsid w:val="004B33B8"/>
    <w:rsid w:val="004B516F"/>
    <w:rsid w:val="004D08AF"/>
    <w:rsid w:val="004D0C41"/>
    <w:rsid w:val="004D1A49"/>
    <w:rsid w:val="004D1F63"/>
    <w:rsid w:val="004D20C9"/>
    <w:rsid w:val="004D34BB"/>
    <w:rsid w:val="004D4723"/>
    <w:rsid w:val="004E2EB7"/>
    <w:rsid w:val="004E4CD6"/>
    <w:rsid w:val="004F1CE1"/>
    <w:rsid w:val="004F1E4C"/>
    <w:rsid w:val="004F579B"/>
    <w:rsid w:val="004F65FA"/>
    <w:rsid w:val="00502F1F"/>
    <w:rsid w:val="00510DA2"/>
    <w:rsid w:val="00511A33"/>
    <w:rsid w:val="00511B37"/>
    <w:rsid w:val="00512251"/>
    <w:rsid w:val="00513B67"/>
    <w:rsid w:val="00515084"/>
    <w:rsid w:val="005170B8"/>
    <w:rsid w:val="00517389"/>
    <w:rsid w:val="0052384E"/>
    <w:rsid w:val="00525D39"/>
    <w:rsid w:val="00534A30"/>
    <w:rsid w:val="00536BFF"/>
    <w:rsid w:val="00536F1D"/>
    <w:rsid w:val="00542412"/>
    <w:rsid w:val="00543F2E"/>
    <w:rsid w:val="00555996"/>
    <w:rsid w:val="00557B71"/>
    <w:rsid w:val="005679D2"/>
    <w:rsid w:val="0057068F"/>
    <w:rsid w:val="00572F9E"/>
    <w:rsid w:val="005731DA"/>
    <w:rsid w:val="00574527"/>
    <w:rsid w:val="005853E8"/>
    <w:rsid w:val="00585CD6"/>
    <w:rsid w:val="00593536"/>
    <w:rsid w:val="00593D18"/>
    <w:rsid w:val="00593E99"/>
    <w:rsid w:val="0059534B"/>
    <w:rsid w:val="00597874"/>
    <w:rsid w:val="005A0798"/>
    <w:rsid w:val="005B51B9"/>
    <w:rsid w:val="005B55E8"/>
    <w:rsid w:val="005B77E5"/>
    <w:rsid w:val="005C1163"/>
    <w:rsid w:val="005C3E9E"/>
    <w:rsid w:val="005C4AEF"/>
    <w:rsid w:val="005C4DF4"/>
    <w:rsid w:val="005C5C1B"/>
    <w:rsid w:val="005C7C41"/>
    <w:rsid w:val="005D02FF"/>
    <w:rsid w:val="005D0BAE"/>
    <w:rsid w:val="005D14D0"/>
    <w:rsid w:val="005D386B"/>
    <w:rsid w:val="005D4864"/>
    <w:rsid w:val="005D6B70"/>
    <w:rsid w:val="005E0F97"/>
    <w:rsid w:val="005E5043"/>
    <w:rsid w:val="005F45C8"/>
    <w:rsid w:val="005F51DA"/>
    <w:rsid w:val="005F6650"/>
    <w:rsid w:val="00600030"/>
    <w:rsid w:val="00603A32"/>
    <w:rsid w:val="00603B60"/>
    <w:rsid w:val="006061CC"/>
    <w:rsid w:val="0060719D"/>
    <w:rsid w:val="006075B7"/>
    <w:rsid w:val="00610CBA"/>
    <w:rsid w:val="00611759"/>
    <w:rsid w:val="00613EF4"/>
    <w:rsid w:val="00616D76"/>
    <w:rsid w:val="00622267"/>
    <w:rsid w:val="006227DB"/>
    <w:rsid w:val="00622BF9"/>
    <w:rsid w:val="00623C29"/>
    <w:rsid w:val="006314F1"/>
    <w:rsid w:val="0063265E"/>
    <w:rsid w:val="006331DE"/>
    <w:rsid w:val="00635308"/>
    <w:rsid w:val="006377A8"/>
    <w:rsid w:val="006408BC"/>
    <w:rsid w:val="006416A9"/>
    <w:rsid w:val="00642EB5"/>
    <w:rsid w:val="00645230"/>
    <w:rsid w:val="00645FA6"/>
    <w:rsid w:val="00646A12"/>
    <w:rsid w:val="00646DA8"/>
    <w:rsid w:val="00652032"/>
    <w:rsid w:val="00652574"/>
    <w:rsid w:val="006560B3"/>
    <w:rsid w:val="00657508"/>
    <w:rsid w:val="00660B5A"/>
    <w:rsid w:val="00661372"/>
    <w:rsid w:val="0066301E"/>
    <w:rsid w:val="006710AF"/>
    <w:rsid w:val="00671D51"/>
    <w:rsid w:val="00671E08"/>
    <w:rsid w:val="00672B19"/>
    <w:rsid w:val="006740DB"/>
    <w:rsid w:val="00675A0D"/>
    <w:rsid w:val="00676665"/>
    <w:rsid w:val="00682589"/>
    <w:rsid w:val="006847A7"/>
    <w:rsid w:val="0068633D"/>
    <w:rsid w:val="0068654A"/>
    <w:rsid w:val="00692C0B"/>
    <w:rsid w:val="006941E8"/>
    <w:rsid w:val="00695DBE"/>
    <w:rsid w:val="00696F8B"/>
    <w:rsid w:val="006A45B8"/>
    <w:rsid w:val="006A47EF"/>
    <w:rsid w:val="006A5F6B"/>
    <w:rsid w:val="006A7406"/>
    <w:rsid w:val="006B7378"/>
    <w:rsid w:val="006B7ABF"/>
    <w:rsid w:val="006C0752"/>
    <w:rsid w:val="006C387A"/>
    <w:rsid w:val="006C6378"/>
    <w:rsid w:val="006C711B"/>
    <w:rsid w:val="006D0088"/>
    <w:rsid w:val="006D1C53"/>
    <w:rsid w:val="006D2A86"/>
    <w:rsid w:val="006D4063"/>
    <w:rsid w:val="006D679C"/>
    <w:rsid w:val="006D70DC"/>
    <w:rsid w:val="006D7543"/>
    <w:rsid w:val="006E0903"/>
    <w:rsid w:val="006E0A8B"/>
    <w:rsid w:val="006E3075"/>
    <w:rsid w:val="006E74CC"/>
    <w:rsid w:val="006E755D"/>
    <w:rsid w:val="006F0075"/>
    <w:rsid w:val="006F03A1"/>
    <w:rsid w:val="006F1662"/>
    <w:rsid w:val="006F37FD"/>
    <w:rsid w:val="006F4A77"/>
    <w:rsid w:val="00700017"/>
    <w:rsid w:val="00702AE3"/>
    <w:rsid w:val="00704992"/>
    <w:rsid w:val="00705415"/>
    <w:rsid w:val="00705B17"/>
    <w:rsid w:val="00706B13"/>
    <w:rsid w:val="00707F4E"/>
    <w:rsid w:val="00710611"/>
    <w:rsid w:val="00710DE6"/>
    <w:rsid w:val="0071657A"/>
    <w:rsid w:val="00722931"/>
    <w:rsid w:val="00723093"/>
    <w:rsid w:val="007238E3"/>
    <w:rsid w:val="007300BC"/>
    <w:rsid w:val="007315CB"/>
    <w:rsid w:val="00737E98"/>
    <w:rsid w:val="00743621"/>
    <w:rsid w:val="007525EB"/>
    <w:rsid w:val="00754030"/>
    <w:rsid w:val="007552FB"/>
    <w:rsid w:val="00756119"/>
    <w:rsid w:val="00756940"/>
    <w:rsid w:val="00756DBF"/>
    <w:rsid w:val="0075764A"/>
    <w:rsid w:val="00763370"/>
    <w:rsid w:val="007706F8"/>
    <w:rsid w:val="007712D7"/>
    <w:rsid w:val="00773A57"/>
    <w:rsid w:val="00773CC5"/>
    <w:rsid w:val="007754BB"/>
    <w:rsid w:val="007756EA"/>
    <w:rsid w:val="0078186F"/>
    <w:rsid w:val="00782BC3"/>
    <w:rsid w:val="0079169C"/>
    <w:rsid w:val="00792D25"/>
    <w:rsid w:val="00795DD0"/>
    <w:rsid w:val="00795F2A"/>
    <w:rsid w:val="00796C8A"/>
    <w:rsid w:val="00797480"/>
    <w:rsid w:val="007A15B3"/>
    <w:rsid w:val="007A2185"/>
    <w:rsid w:val="007A4600"/>
    <w:rsid w:val="007A5DE4"/>
    <w:rsid w:val="007B1D8E"/>
    <w:rsid w:val="007B2991"/>
    <w:rsid w:val="007B3081"/>
    <w:rsid w:val="007B4A57"/>
    <w:rsid w:val="007B64A3"/>
    <w:rsid w:val="007C1932"/>
    <w:rsid w:val="007C1C66"/>
    <w:rsid w:val="007C7455"/>
    <w:rsid w:val="007D1C94"/>
    <w:rsid w:val="007D6D57"/>
    <w:rsid w:val="007E0DB9"/>
    <w:rsid w:val="007E7F52"/>
    <w:rsid w:val="007F08A7"/>
    <w:rsid w:val="007F3B44"/>
    <w:rsid w:val="007F4BDD"/>
    <w:rsid w:val="007F5CEB"/>
    <w:rsid w:val="007F66AA"/>
    <w:rsid w:val="007F7A23"/>
    <w:rsid w:val="008035EB"/>
    <w:rsid w:val="008038CA"/>
    <w:rsid w:val="008076C3"/>
    <w:rsid w:val="00810F0E"/>
    <w:rsid w:val="00817EA3"/>
    <w:rsid w:val="0082164F"/>
    <w:rsid w:val="008219B8"/>
    <w:rsid w:val="00824A5E"/>
    <w:rsid w:val="0082733C"/>
    <w:rsid w:val="00830164"/>
    <w:rsid w:val="00830D65"/>
    <w:rsid w:val="008336D3"/>
    <w:rsid w:val="00834438"/>
    <w:rsid w:val="008408CF"/>
    <w:rsid w:val="00840BD3"/>
    <w:rsid w:val="00841AAE"/>
    <w:rsid w:val="008462AE"/>
    <w:rsid w:val="008465D6"/>
    <w:rsid w:val="00846F30"/>
    <w:rsid w:val="0085104B"/>
    <w:rsid w:val="00854EFD"/>
    <w:rsid w:val="00855CB1"/>
    <w:rsid w:val="00856A54"/>
    <w:rsid w:val="00860209"/>
    <w:rsid w:val="0086225B"/>
    <w:rsid w:val="008625D5"/>
    <w:rsid w:val="00862FD5"/>
    <w:rsid w:val="00863345"/>
    <w:rsid w:val="00863593"/>
    <w:rsid w:val="00864711"/>
    <w:rsid w:val="00870953"/>
    <w:rsid w:val="00875FD3"/>
    <w:rsid w:val="0087742F"/>
    <w:rsid w:val="008844FE"/>
    <w:rsid w:val="008863DD"/>
    <w:rsid w:val="00886F99"/>
    <w:rsid w:val="00891796"/>
    <w:rsid w:val="00894B5D"/>
    <w:rsid w:val="00895559"/>
    <w:rsid w:val="00896E27"/>
    <w:rsid w:val="00897A3C"/>
    <w:rsid w:val="008A0F65"/>
    <w:rsid w:val="008A3EFB"/>
    <w:rsid w:val="008A537B"/>
    <w:rsid w:val="008A723B"/>
    <w:rsid w:val="008B63C3"/>
    <w:rsid w:val="008B692C"/>
    <w:rsid w:val="008C050B"/>
    <w:rsid w:val="008C160D"/>
    <w:rsid w:val="008D4F56"/>
    <w:rsid w:val="008D6258"/>
    <w:rsid w:val="008D6CE6"/>
    <w:rsid w:val="008E7B13"/>
    <w:rsid w:val="008F0E8F"/>
    <w:rsid w:val="008F2EED"/>
    <w:rsid w:val="008F339A"/>
    <w:rsid w:val="009015FC"/>
    <w:rsid w:val="00905155"/>
    <w:rsid w:val="00910DA9"/>
    <w:rsid w:val="00911A1D"/>
    <w:rsid w:val="00912536"/>
    <w:rsid w:val="009220B5"/>
    <w:rsid w:val="009220D9"/>
    <w:rsid w:val="00923712"/>
    <w:rsid w:val="00926A10"/>
    <w:rsid w:val="009324DD"/>
    <w:rsid w:val="00933D40"/>
    <w:rsid w:val="009356F7"/>
    <w:rsid w:val="00940190"/>
    <w:rsid w:val="009421C2"/>
    <w:rsid w:val="00944F8C"/>
    <w:rsid w:val="00952892"/>
    <w:rsid w:val="00952D9B"/>
    <w:rsid w:val="009530D2"/>
    <w:rsid w:val="00954511"/>
    <w:rsid w:val="0095590A"/>
    <w:rsid w:val="009640AC"/>
    <w:rsid w:val="009766E3"/>
    <w:rsid w:val="00981633"/>
    <w:rsid w:val="00981EFB"/>
    <w:rsid w:val="0098347A"/>
    <w:rsid w:val="00983698"/>
    <w:rsid w:val="009852B4"/>
    <w:rsid w:val="00992070"/>
    <w:rsid w:val="00993848"/>
    <w:rsid w:val="009957D8"/>
    <w:rsid w:val="009963DF"/>
    <w:rsid w:val="009A12C9"/>
    <w:rsid w:val="009A35DA"/>
    <w:rsid w:val="009A529A"/>
    <w:rsid w:val="009A7652"/>
    <w:rsid w:val="009B0A39"/>
    <w:rsid w:val="009B2946"/>
    <w:rsid w:val="009B3038"/>
    <w:rsid w:val="009B32F8"/>
    <w:rsid w:val="009B391A"/>
    <w:rsid w:val="009B71F7"/>
    <w:rsid w:val="009C04E7"/>
    <w:rsid w:val="009C2544"/>
    <w:rsid w:val="009C4F64"/>
    <w:rsid w:val="009D16EC"/>
    <w:rsid w:val="009D3262"/>
    <w:rsid w:val="009D3558"/>
    <w:rsid w:val="009D3AF8"/>
    <w:rsid w:val="009D456B"/>
    <w:rsid w:val="009D765D"/>
    <w:rsid w:val="009D7E2A"/>
    <w:rsid w:val="009E16A6"/>
    <w:rsid w:val="009E372E"/>
    <w:rsid w:val="009E6CE5"/>
    <w:rsid w:val="009F2F2C"/>
    <w:rsid w:val="009F4BF0"/>
    <w:rsid w:val="009F5A69"/>
    <w:rsid w:val="00A010A9"/>
    <w:rsid w:val="00A03AB8"/>
    <w:rsid w:val="00A07137"/>
    <w:rsid w:val="00A1028C"/>
    <w:rsid w:val="00A115E0"/>
    <w:rsid w:val="00A12AFB"/>
    <w:rsid w:val="00A12CB3"/>
    <w:rsid w:val="00A1590D"/>
    <w:rsid w:val="00A1711F"/>
    <w:rsid w:val="00A23CC7"/>
    <w:rsid w:val="00A36F21"/>
    <w:rsid w:val="00A4085A"/>
    <w:rsid w:val="00A409C1"/>
    <w:rsid w:val="00A40E33"/>
    <w:rsid w:val="00A464FE"/>
    <w:rsid w:val="00A5331A"/>
    <w:rsid w:val="00A57A5C"/>
    <w:rsid w:val="00A60F2C"/>
    <w:rsid w:val="00A66392"/>
    <w:rsid w:val="00A66515"/>
    <w:rsid w:val="00A70A9B"/>
    <w:rsid w:val="00A81177"/>
    <w:rsid w:val="00A819AA"/>
    <w:rsid w:val="00A81CC5"/>
    <w:rsid w:val="00A83D9E"/>
    <w:rsid w:val="00A841F4"/>
    <w:rsid w:val="00A843E3"/>
    <w:rsid w:val="00A91346"/>
    <w:rsid w:val="00A91C19"/>
    <w:rsid w:val="00A937AD"/>
    <w:rsid w:val="00A974B6"/>
    <w:rsid w:val="00AA5C0B"/>
    <w:rsid w:val="00AA68D6"/>
    <w:rsid w:val="00AA694E"/>
    <w:rsid w:val="00AB0922"/>
    <w:rsid w:val="00AB1D12"/>
    <w:rsid w:val="00AB420C"/>
    <w:rsid w:val="00AB4FBB"/>
    <w:rsid w:val="00AB7746"/>
    <w:rsid w:val="00AC1DCD"/>
    <w:rsid w:val="00AC4D86"/>
    <w:rsid w:val="00AD1B7E"/>
    <w:rsid w:val="00AD280B"/>
    <w:rsid w:val="00AD48CE"/>
    <w:rsid w:val="00AD7127"/>
    <w:rsid w:val="00AE44EA"/>
    <w:rsid w:val="00AE6372"/>
    <w:rsid w:val="00AF19CA"/>
    <w:rsid w:val="00AF29DC"/>
    <w:rsid w:val="00B02C1A"/>
    <w:rsid w:val="00B11E46"/>
    <w:rsid w:val="00B14CC5"/>
    <w:rsid w:val="00B169D4"/>
    <w:rsid w:val="00B16BDC"/>
    <w:rsid w:val="00B20CDF"/>
    <w:rsid w:val="00B24829"/>
    <w:rsid w:val="00B25E6A"/>
    <w:rsid w:val="00B32758"/>
    <w:rsid w:val="00B32CA1"/>
    <w:rsid w:val="00B33777"/>
    <w:rsid w:val="00B337AF"/>
    <w:rsid w:val="00B33D45"/>
    <w:rsid w:val="00B349DA"/>
    <w:rsid w:val="00B34AB0"/>
    <w:rsid w:val="00B34F8D"/>
    <w:rsid w:val="00B373D3"/>
    <w:rsid w:val="00B408A9"/>
    <w:rsid w:val="00B428D2"/>
    <w:rsid w:val="00B4309B"/>
    <w:rsid w:val="00B44E2B"/>
    <w:rsid w:val="00B46A08"/>
    <w:rsid w:val="00B47FA0"/>
    <w:rsid w:val="00B5307C"/>
    <w:rsid w:val="00B54A4E"/>
    <w:rsid w:val="00B600DC"/>
    <w:rsid w:val="00B630BE"/>
    <w:rsid w:val="00B667BF"/>
    <w:rsid w:val="00B6718E"/>
    <w:rsid w:val="00B718E4"/>
    <w:rsid w:val="00B71DAF"/>
    <w:rsid w:val="00B7289A"/>
    <w:rsid w:val="00B777C2"/>
    <w:rsid w:val="00B83631"/>
    <w:rsid w:val="00B90AD6"/>
    <w:rsid w:val="00B91CFB"/>
    <w:rsid w:val="00B91FDD"/>
    <w:rsid w:val="00B940F7"/>
    <w:rsid w:val="00B9700C"/>
    <w:rsid w:val="00BA1146"/>
    <w:rsid w:val="00BA1DDA"/>
    <w:rsid w:val="00BA1E18"/>
    <w:rsid w:val="00BA3563"/>
    <w:rsid w:val="00BA42F2"/>
    <w:rsid w:val="00BA4F91"/>
    <w:rsid w:val="00BA5990"/>
    <w:rsid w:val="00BA7A7C"/>
    <w:rsid w:val="00BB61F1"/>
    <w:rsid w:val="00BD57D8"/>
    <w:rsid w:val="00BD5A34"/>
    <w:rsid w:val="00BD6987"/>
    <w:rsid w:val="00BE0007"/>
    <w:rsid w:val="00BE168B"/>
    <w:rsid w:val="00BE562A"/>
    <w:rsid w:val="00BE5CAB"/>
    <w:rsid w:val="00BF02D3"/>
    <w:rsid w:val="00BF2842"/>
    <w:rsid w:val="00BF426C"/>
    <w:rsid w:val="00BF450C"/>
    <w:rsid w:val="00BF6F60"/>
    <w:rsid w:val="00C02623"/>
    <w:rsid w:val="00C03FAF"/>
    <w:rsid w:val="00C12DEA"/>
    <w:rsid w:val="00C17453"/>
    <w:rsid w:val="00C174FA"/>
    <w:rsid w:val="00C23073"/>
    <w:rsid w:val="00C23AC4"/>
    <w:rsid w:val="00C2448B"/>
    <w:rsid w:val="00C250A2"/>
    <w:rsid w:val="00C26490"/>
    <w:rsid w:val="00C31D82"/>
    <w:rsid w:val="00C34B54"/>
    <w:rsid w:val="00C35556"/>
    <w:rsid w:val="00C365B0"/>
    <w:rsid w:val="00C366A4"/>
    <w:rsid w:val="00C36F1E"/>
    <w:rsid w:val="00C40D5B"/>
    <w:rsid w:val="00C41FE4"/>
    <w:rsid w:val="00C52050"/>
    <w:rsid w:val="00C5295E"/>
    <w:rsid w:val="00C61303"/>
    <w:rsid w:val="00C655CF"/>
    <w:rsid w:val="00C65621"/>
    <w:rsid w:val="00C67092"/>
    <w:rsid w:val="00C7090C"/>
    <w:rsid w:val="00C710E0"/>
    <w:rsid w:val="00C71883"/>
    <w:rsid w:val="00C718B9"/>
    <w:rsid w:val="00C73AAC"/>
    <w:rsid w:val="00C746BA"/>
    <w:rsid w:val="00C76AD5"/>
    <w:rsid w:val="00C806D4"/>
    <w:rsid w:val="00C809C2"/>
    <w:rsid w:val="00C83D30"/>
    <w:rsid w:val="00C85401"/>
    <w:rsid w:val="00C879E6"/>
    <w:rsid w:val="00C93078"/>
    <w:rsid w:val="00C94BC1"/>
    <w:rsid w:val="00C94DB2"/>
    <w:rsid w:val="00C97E72"/>
    <w:rsid w:val="00CA14C2"/>
    <w:rsid w:val="00CA1C06"/>
    <w:rsid w:val="00CA48C9"/>
    <w:rsid w:val="00CA5011"/>
    <w:rsid w:val="00CB057D"/>
    <w:rsid w:val="00CB36BD"/>
    <w:rsid w:val="00CC1EB2"/>
    <w:rsid w:val="00CC277D"/>
    <w:rsid w:val="00CC514E"/>
    <w:rsid w:val="00CC75C7"/>
    <w:rsid w:val="00CC7D73"/>
    <w:rsid w:val="00CD1193"/>
    <w:rsid w:val="00CD2011"/>
    <w:rsid w:val="00CD48EF"/>
    <w:rsid w:val="00CE1045"/>
    <w:rsid w:val="00CE1CAC"/>
    <w:rsid w:val="00CE3B8D"/>
    <w:rsid w:val="00CE596D"/>
    <w:rsid w:val="00CF19DB"/>
    <w:rsid w:val="00CF5367"/>
    <w:rsid w:val="00CF6058"/>
    <w:rsid w:val="00CF732B"/>
    <w:rsid w:val="00CF7E7C"/>
    <w:rsid w:val="00D013F0"/>
    <w:rsid w:val="00D0302C"/>
    <w:rsid w:val="00D05005"/>
    <w:rsid w:val="00D068DF"/>
    <w:rsid w:val="00D07EF9"/>
    <w:rsid w:val="00D11F3C"/>
    <w:rsid w:val="00D13820"/>
    <w:rsid w:val="00D13F02"/>
    <w:rsid w:val="00D146A5"/>
    <w:rsid w:val="00D206B3"/>
    <w:rsid w:val="00D21842"/>
    <w:rsid w:val="00D22E2B"/>
    <w:rsid w:val="00D30C6B"/>
    <w:rsid w:val="00D31327"/>
    <w:rsid w:val="00D33051"/>
    <w:rsid w:val="00D42554"/>
    <w:rsid w:val="00D428F5"/>
    <w:rsid w:val="00D43446"/>
    <w:rsid w:val="00D47965"/>
    <w:rsid w:val="00D50112"/>
    <w:rsid w:val="00D55807"/>
    <w:rsid w:val="00D565AB"/>
    <w:rsid w:val="00D56B7E"/>
    <w:rsid w:val="00D57064"/>
    <w:rsid w:val="00D64AFF"/>
    <w:rsid w:val="00D66068"/>
    <w:rsid w:val="00D67C80"/>
    <w:rsid w:val="00D71099"/>
    <w:rsid w:val="00D755A5"/>
    <w:rsid w:val="00D75C95"/>
    <w:rsid w:val="00D84E04"/>
    <w:rsid w:val="00D85A51"/>
    <w:rsid w:val="00D87F9F"/>
    <w:rsid w:val="00D91982"/>
    <w:rsid w:val="00DA2A3C"/>
    <w:rsid w:val="00DB0ED1"/>
    <w:rsid w:val="00DB1D10"/>
    <w:rsid w:val="00DB20B8"/>
    <w:rsid w:val="00DB43A6"/>
    <w:rsid w:val="00DB5526"/>
    <w:rsid w:val="00DB5532"/>
    <w:rsid w:val="00DB5CDA"/>
    <w:rsid w:val="00DB7087"/>
    <w:rsid w:val="00DC6652"/>
    <w:rsid w:val="00DD317B"/>
    <w:rsid w:val="00DD7999"/>
    <w:rsid w:val="00DE051A"/>
    <w:rsid w:val="00DE08AA"/>
    <w:rsid w:val="00DE3C94"/>
    <w:rsid w:val="00DE68ED"/>
    <w:rsid w:val="00DE6C95"/>
    <w:rsid w:val="00DE7632"/>
    <w:rsid w:val="00DF146A"/>
    <w:rsid w:val="00DF2AC4"/>
    <w:rsid w:val="00DF30D9"/>
    <w:rsid w:val="00DF43F8"/>
    <w:rsid w:val="00E00AAF"/>
    <w:rsid w:val="00E018F2"/>
    <w:rsid w:val="00E03296"/>
    <w:rsid w:val="00E03DD4"/>
    <w:rsid w:val="00E07042"/>
    <w:rsid w:val="00E0724E"/>
    <w:rsid w:val="00E10D12"/>
    <w:rsid w:val="00E1197F"/>
    <w:rsid w:val="00E136EF"/>
    <w:rsid w:val="00E13CA7"/>
    <w:rsid w:val="00E179A6"/>
    <w:rsid w:val="00E2730F"/>
    <w:rsid w:val="00E27C3B"/>
    <w:rsid w:val="00E3192B"/>
    <w:rsid w:val="00E31DC7"/>
    <w:rsid w:val="00E3227C"/>
    <w:rsid w:val="00E34743"/>
    <w:rsid w:val="00E362AC"/>
    <w:rsid w:val="00E3633F"/>
    <w:rsid w:val="00E426E5"/>
    <w:rsid w:val="00E457C5"/>
    <w:rsid w:val="00E45B22"/>
    <w:rsid w:val="00E47389"/>
    <w:rsid w:val="00E51C59"/>
    <w:rsid w:val="00E53D75"/>
    <w:rsid w:val="00E61853"/>
    <w:rsid w:val="00E61A51"/>
    <w:rsid w:val="00E64338"/>
    <w:rsid w:val="00E740B4"/>
    <w:rsid w:val="00E75DE1"/>
    <w:rsid w:val="00E77C88"/>
    <w:rsid w:val="00E85886"/>
    <w:rsid w:val="00E858A8"/>
    <w:rsid w:val="00E85CB8"/>
    <w:rsid w:val="00E8699B"/>
    <w:rsid w:val="00E86E61"/>
    <w:rsid w:val="00E9384D"/>
    <w:rsid w:val="00E93D0E"/>
    <w:rsid w:val="00EA0359"/>
    <w:rsid w:val="00EB06F6"/>
    <w:rsid w:val="00EB2E20"/>
    <w:rsid w:val="00EB449F"/>
    <w:rsid w:val="00EB6E1F"/>
    <w:rsid w:val="00EB72D7"/>
    <w:rsid w:val="00EC247C"/>
    <w:rsid w:val="00EC3065"/>
    <w:rsid w:val="00EC6466"/>
    <w:rsid w:val="00EC6CB7"/>
    <w:rsid w:val="00ED101F"/>
    <w:rsid w:val="00ED2F87"/>
    <w:rsid w:val="00ED5860"/>
    <w:rsid w:val="00ED6E44"/>
    <w:rsid w:val="00EE567C"/>
    <w:rsid w:val="00EF1149"/>
    <w:rsid w:val="00EF57C8"/>
    <w:rsid w:val="00F00070"/>
    <w:rsid w:val="00F017CB"/>
    <w:rsid w:val="00F01F54"/>
    <w:rsid w:val="00F06A16"/>
    <w:rsid w:val="00F07B9D"/>
    <w:rsid w:val="00F07CCF"/>
    <w:rsid w:val="00F102EF"/>
    <w:rsid w:val="00F11A26"/>
    <w:rsid w:val="00F2323B"/>
    <w:rsid w:val="00F23A93"/>
    <w:rsid w:val="00F24058"/>
    <w:rsid w:val="00F2659D"/>
    <w:rsid w:val="00F3090A"/>
    <w:rsid w:val="00F311E3"/>
    <w:rsid w:val="00F3141B"/>
    <w:rsid w:val="00F31BC3"/>
    <w:rsid w:val="00F348FD"/>
    <w:rsid w:val="00F35B26"/>
    <w:rsid w:val="00F40867"/>
    <w:rsid w:val="00F42363"/>
    <w:rsid w:val="00F4665D"/>
    <w:rsid w:val="00F47A10"/>
    <w:rsid w:val="00F530D7"/>
    <w:rsid w:val="00F54D09"/>
    <w:rsid w:val="00F60286"/>
    <w:rsid w:val="00F6119D"/>
    <w:rsid w:val="00F630A6"/>
    <w:rsid w:val="00F64DE6"/>
    <w:rsid w:val="00F65193"/>
    <w:rsid w:val="00F65252"/>
    <w:rsid w:val="00F704A0"/>
    <w:rsid w:val="00F70C00"/>
    <w:rsid w:val="00F74A65"/>
    <w:rsid w:val="00F7787B"/>
    <w:rsid w:val="00F8290A"/>
    <w:rsid w:val="00F832B5"/>
    <w:rsid w:val="00F90E87"/>
    <w:rsid w:val="00F9188C"/>
    <w:rsid w:val="00F92BF7"/>
    <w:rsid w:val="00F94FEB"/>
    <w:rsid w:val="00F956CD"/>
    <w:rsid w:val="00F965A1"/>
    <w:rsid w:val="00FB0CA2"/>
    <w:rsid w:val="00FB16C8"/>
    <w:rsid w:val="00FB3494"/>
    <w:rsid w:val="00FB5864"/>
    <w:rsid w:val="00FB60EF"/>
    <w:rsid w:val="00FB6D9B"/>
    <w:rsid w:val="00FC1AF2"/>
    <w:rsid w:val="00FC3247"/>
    <w:rsid w:val="00FC69A7"/>
    <w:rsid w:val="00FC6A03"/>
    <w:rsid w:val="00FC6F1F"/>
    <w:rsid w:val="00FC70D2"/>
    <w:rsid w:val="00FD170F"/>
    <w:rsid w:val="00FD4669"/>
    <w:rsid w:val="00FE2C82"/>
    <w:rsid w:val="00FE5A7D"/>
    <w:rsid w:val="00FF5AE5"/>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07C96A-E3DF-4D1F-AA1D-63FACA56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3E8"/>
    <w:rPr>
      <w:rFonts w:ascii="Times New Roman" w:eastAsia="Times New Roman" w:hAnsi="Times New Roman"/>
      <w:sz w:val="24"/>
      <w:szCs w:val="24"/>
      <w:lang w:val="ro-RO"/>
    </w:rPr>
  </w:style>
  <w:style w:type="paragraph" w:styleId="Heading1">
    <w:name w:val="heading 1"/>
    <w:basedOn w:val="Normal"/>
    <w:next w:val="Normal"/>
    <w:link w:val="Heading1Char"/>
    <w:uiPriority w:val="99"/>
    <w:qFormat/>
    <w:rsid w:val="006071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34753"/>
    <w:pPr>
      <w:keepNext/>
      <w:spacing w:before="120" w:after="240"/>
      <w:jc w:val="center"/>
      <w:outlineLvl w:val="1"/>
    </w:pPr>
    <w:rPr>
      <w:b/>
      <w:i/>
      <w:szCs w:val="20"/>
      <w:lang w:val="en-GB"/>
    </w:rPr>
  </w:style>
  <w:style w:type="paragraph" w:styleId="Heading3">
    <w:name w:val="heading 3"/>
    <w:basedOn w:val="Normal"/>
    <w:next w:val="Normal"/>
    <w:link w:val="Heading3Char"/>
    <w:uiPriority w:val="99"/>
    <w:qFormat/>
    <w:rsid w:val="00434753"/>
    <w:pPr>
      <w:keepNext/>
      <w:spacing w:before="120" w:after="120"/>
      <w:jc w:val="center"/>
      <w:outlineLvl w:val="2"/>
    </w:pPr>
    <w:rPr>
      <w:i/>
      <w:szCs w:val="20"/>
      <w:lang w:val="en-GB"/>
    </w:rPr>
  </w:style>
  <w:style w:type="paragraph" w:styleId="Heading9">
    <w:name w:val="heading 9"/>
    <w:basedOn w:val="Normal"/>
    <w:next w:val="Normal"/>
    <w:link w:val="Heading9Char"/>
    <w:uiPriority w:val="99"/>
    <w:qFormat/>
    <w:rsid w:val="00434753"/>
    <w:p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068"/>
    <w:rPr>
      <w:rFonts w:ascii="Cambria" w:hAnsi="Cambria" w:cs="Times New Roman"/>
      <w:b/>
      <w:bCs/>
      <w:kern w:val="32"/>
      <w:sz w:val="32"/>
      <w:szCs w:val="32"/>
      <w:lang w:val="ro-RO"/>
    </w:rPr>
  </w:style>
  <w:style w:type="character" w:customStyle="1" w:styleId="Heading2Char">
    <w:name w:val="Heading 2 Char"/>
    <w:basedOn w:val="DefaultParagraphFont"/>
    <w:link w:val="Heading2"/>
    <w:uiPriority w:val="99"/>
    <w:locked/>
    <w:rsid w:val="00434753"/>
    <w:rPr>
      <w:rFonts w:ascii="Times New Roman" w:hAnsi="Times New Roman" w:cs="Times New Roman"/>
      <w:b/>
      <w:i/>
      <w:sz w:val="24"/>
      <w:lang w:val="en-GB"/>
    </w:rPr>
  </w:style>
  <w:style w:type="character" w:customStyle="1" w:styleId="Heading3Char">
    <w:name w:val="Heading 3 Char"/>
    <w:basedOn w:val="DefaultParagraphFont"/>
    <w:link w:val="Heading3"/>
    <w:uiPriority w:val="99"/>
    <w:locked/>
    <w:rsid w:val="00434753"/>
    <w:rPr>
      <w:rFonts w:ascii="Times New Roman" w:hAnsi="Times New Roman" w:cs="Times New Roman"/>
      <w:i/>
      <w:sz w:val="24"/>
      <w:lang w:val="en-GB"/>
    </w:rPr>
  </w:style>
  <w:style w:type="character" w:customStyle="1" w:styleId="Heading9Char">
    <w:name w:val="Heading 9 Char"/>
    <w:basedOn w:val="DefaultParagraphFont"/>
    <w:link w:val="Heading9"/>
    <w:uiPriority w:val="99"/>
    <w:locked/>
    <w:rsid w:val="00434753"/>
    <w:rPr>
      <w:rFonts w:ascii="Cambria" w:hAnsi="Cambria" w:cs="Times New Roman"/>
      <w:sz w:val="22"/>
    </w:rPr>
  </w:style>
  <w:style w:type="paragraph" w:styleId="Title">
    <w:name w:val="Title"/>
    <w:basedOn w:val="Normal"/>
    <w:link w:val="TitleChar1"/>
    <w:uiPriority w:val="99"/>
    <w:qFormat/>
    <w:rsid w:val="00434753"/>
    <w:pPr>
      <w:jc w:val="center"/>
    </w:pPr>
    <w:rPr>
      <w:rFonts w:ascii="FrizQuaF" w:eastAsia="Calibri" w:hAnsi="FrizQuaF"/>
      <w:b/>
      <w:szCs w:val="20"/>
    </w:rPr>
  </w:style>
  <w:style w:type="character" w:customStyle="1" w:styleId="TitleChar">
    <w:name w:val="Title Char"/>
    <w:basedOn w:val="DefaultParagraphFont"/>
    <w:uiPriority w:val="99"/>
    <w:locked/>
    <w:rsid w:val="0060719D"/>
    <w:rPr>
      <w:rFonts w:cs="Times New Roman"/>
      <w:b/>
      <w:sz w:val="24"/>
      <w:lang w:val="ro-RO" w:eastAsia="ar-SA" w:bidi="ar-SA"/>
    </w:rPr>
  </w:style>
  <w:style w:type="character" w:customStyle="1" w:styleId="TitleChar1">
    <w:name w:val="Title Char1"/>
    <w:link w:val="Title"/>
    <w:uiPriority w:val="99"/>
    <w:locked/>
    <w:rsid w:val="00434753"/>
    <w:rPr>
      <w:rFonts w:ascii="FrizQuaF" w:hAnsi="FrizQuaF"/>
      <w:b/>
      <w:sz w:val="24"/>
      <w:lang w:val="ro-RO"/>
    </w:rPr>
  </w:style>
  <w:style w:type="character" w:styleId="Strong">
    <w:name w:val="Strong"/>
    <w:basedOn w:val="DefaultParagraphFont"/>
    <w:uiPriority w:val="99"/>
    <w:qFormat/>
    <w:rsid w:val="00434753"/>
    <w:rPr>
      <w:rFonts w:cs="Times New Roman"/>
      <w:b/>
    </w:rPr>
  </w:style>
  <w:style w:type="character" w:styleId="Emphasis">
    <w:name w:val="Emphasis"/>
    <w:basedOn w:val="DefaultParagraphFont"/>
    <w:uiPriority w:val="99"/>
    <w:qFormat/>
    <w:rsid w:val="00434753"/>
    <w:rPr>
      <w:rFonts w:cs="Times New Roman"/>
      <w:i/>
    </w:rPr>
  </w:style>
  <w:style w:type="paragraph" w:customStyle="1" w:styleId="ListParagraph1">
    <w:name w:val="List Paragraph1"/>
    <w:basedOn w:val="Normal"/>
    <w:uiPriority w:val="99"/>
    <w:rsid w:val="00434753"/>
    <w:pPr>
      <w:ind w:left="720"/>
      <w:contextualSpacing/>
    </w:pPr>
  </w:style>
  <w:style w:type="character" w:customStyle="1" w:styleId="BodyTextChar">
    <w:name w:val="Body Text Char"/>
    <w:uiPriority w:val="99"/>
    <w:semiHidden/>
    <w:locked/>
    <w:rsid w:val="0060719D"/>
    <w:rPr>
      <w:sz w:val="24"/>
      <w:lang w:val="ro-RO" w:eastAsia="ar-SA" w:bidi="ar-SA"/>
    </w:rPr>
  </w:style>
  <w:style w:type="paragraph" w:styleId="BodyText">
    <w:name w:val="Body Text"/>
    <w:basedOn w:val="Normal"/>
    <w:link w:val="BodyTextChar1"/>
    <w:uiPriority w:val="99"/>
    <w:rsid w:val="0060719D"/>
    <w:pPr>
      <w:suppressAutoHyphens/>
      <w:jc w:val="both"/>
    </w:pPr>
    <w:rPr>
      <w:rFonts w:ascii="Calibri" w:eastAsia="Calibri" w:hAnsi="Calibri"/>
      <w:szCs w:val="20"/>
      <w:lang w:eastAsia="ar-SA"/>
    </w:rPr>
  </w:style>
  <w:style w:type="character" w:customStyle="1" w:styleId="BodyTextChar1">
    <w:name w:val="Body Text Char1"/>
    <w:basedOn w:val="DefaultParagraphFont"/>
    <w:link w:val="BodyText"/>
    <w:uiPriority w:val="99"/>
    <w:semiHidden/>
    <w:locked/>
    <w:rsid w:val="00273068"/>
    <w:rPr>
      <w:rFonts w:ascii="Times New Roman" w:hAnsi="Times New Roman" w:cs="Times New Roman"/>
      <w:sz w:val="24"/>
      <w:szCs w:val="24"/>
      <w:lang w:val="ro-RO"/>
    </w:rPr>
  </w:style>
  <w:style w:type="character" w:customStyle="1" w:styleId="BodyText2Char">
    <w:name w:val="Body Text 2 Char"/>
    <w:uiPriority w:val="99"/>
    <w:semiHidden/>
    <w:locked/>
    <w:rsid w:val="0060719D"/>
    <w:rPr>
      <w:sz w:val="24"/>
      <w:lang w:val="ro-RO" w:eastAsia="ar-SA" w:bidi="ar-SA"/>
    </w:rPr>
  </w:style>
  <w:style w:type="paragraph" w:styleId="BodyText2">
    <w:name w:val="Body Text 2"/>
    <w:basedOn w:val="Normal"/>
    <w:link w:val="BodyText2Char1"/>
    <w:uiPriority w:val="99"/>
    <w:rsid w:val="0060719D"/>
    <w:pPr>
      <w:suppressAutoHyphens/>
    </w:pPr>
    <w:rPr>
      <w:rFonts w:ascii="Calibri" w:eastAsia="Calibri" w:hAnsi="Calibri"/>
      <w:szCs w:val="20"/>
      <w:lang w:eastAsia="ar-SA"/>
    </w:rPr>
  </w:style>
  <w:style w:type="character" w:customStyle="1" w:styleId="BodyText2Char1">
    <w:name w:val="Body Text 2 Char1"/>
    <w:basedOn w:val="DefaultParagraphFont"/>
    <w:link w:val="BodyText2"/>
    <w:uiPriority w:val="99"/>
    <w:semiHidden/>
    <w:locked/>
    <w:rsid w:val="00273068"/>
    <w:rPr>
      <w:rFonts w:ascii="Times New Roman" w:hAnsi="Times New Roman" w:cs="Times New Roman"/>
      <w:sz w:val="24"/>
      <w:szCs w:val="24"/>
      <w:lang w:val="ro-RO"/>
    </w:rPr>
  </w:style>
  <w:style w:type="table" w:styleId="TableGrid">
    <w:name w:val="Table Grid"/>
    <w:basedOn w:val="TableNormal"/>
    <w:uiPriority w:val="99"/>
    <w:rsid w:val="00CC51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D20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068"/>
    <w:rPr>
      <w:rFonts w:ascii="Times New Roman" w:hAnsi="Times New Roman" w:cs="Times New Roman"/>
      <w:sz w:val="2"/>
      <w:lang w:val="ro-RO"/>
    </w:rPr>
  </w:style>
  <w:style w:type="paragraph" w:styleId="Header">
    <w:name w:val="header"/>
    <w:basedOn w:val="Normal"/>
    <w:link w:val="HeaderChar"/>
    <w:uiPriority w:val="99"/>
    <w:rsid w:val="00C34B54"/>
    <w:pPr>
      <w:tabs>
        <w:tab w:val="center" w:pos="4320"/>
        <w:tab w:val="right" w:pos="8640"/>
      </w:tabs>
    </w:pPr>
  </w:style>
  <w:style w:type="character" w:customStyle="1" w:styleId="HeaderChar">
    <w:name w:val="Header Char"/>
    <w:basedOn w:val="DefaultParagraphFont"/>
    <w:link w:val="Header"/>
    <w:uiPriority w:val="99"/>
    <w:semiHidden/>
    <w:locked/>
    <w:rsid w:val="00273068"/>
    <w:rPr>
      <w:rFonts w:ascii="Times New Roman" w:hAnsi="Times New Roman" w:cs="Times New Roman"/>
      <w:sz w:val="24"/>
      <w:szCs w:val="24"/>
      <w:lang w:val="ro-RO"/>
    </w:rPr>
  </w:style>
  <w:style w:type="paragraph" w:styleId="Footer">
    <w:name w:val="footer"/>
    <w:basedOn w:val="Normal"/>
    <w:link w:val="FooterChar"/>
    <w:uiPriority w:val="99"/>
    <w:rsid w:val="00C34B54"/>
    <w:pPr>
      <w:tabs>
        <w:tab w:val="center" w:pos="4320"/>
        <w:tab w:val="right" w:pos="8640"/>
      </w:tabs>
    </w:pPr>
  </w:style>
  <w:style w:type="character" w:customStyle="1" w:styleId="FooterChar">
    <w:name w:val="Footer Char"/>
    <w:basedOn w:val="DefaultParagraphFont"/>
    <w:link w:val="Footer"/>
    <w:uiPriority w:val="99"/>
    <w:locked/>
    <w:rsid w:val="00645FA6"/>
    <w:rPr>
      <w:rFonts w:ascii="Times New Roman" w:hAnsi="Times New Roman" w:cs="Times New Roman"/>
      <w:sz w:val="24"/>
      <w:lang w:val="ro-RO"/>
    </w:rPr>
  </w:style>
  <w:style w:type="paragraph" w:styleId="ListParagraph">
    <w:name w:val="List Paragraph"/>
    <w:basedOn w:val="Normal"/>
    <w:uiPriority w:val="99"/>
    <w:qFormat/>
    <w:rsid w:val="00610CBA"/>
    <w:pPr>
      <w:ind w:left="708"/>
    </w:pPr>
  </w:style>
  <w:style w:type="character" w:styleId="Hyperlink">
    <w:name w:val="Hyperlink"/>
    <w:basedOn w:val="DefaultParagraphFont"/>
    <w:uiPriority w:val="99"/>
    <w:semiHidden/>
    <w:unhideWhenUsed/>
    <w:rsid w:val="003E32F0"/>
    <w:rPr>
      <w:color w:val="0000FF"/>
      <w:u w:val="single"/>
    </w:rPr>
  </w:style>
  <w:style w:type="character" w:customStyle="1" w:styleId="l5def1">
    <w:name w:val="l5def1"/>
    <w:basedOn w:val="DefaultParagraphFont"/>
    <w:rsid w:val="003E32F0"/>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319376">
      <w:bodyDiv w:val="1"/>
      <w:marLeft w:val="0"/>
      <w:marRight w:val="0"/>
      <w:marTop w:val="0"/>
      <w:marBottom w:val="0"/>
      <w:divBdr>
        <w:top w:val="none" w:sz="0" w:space="0" w:color="auto"/>
        <w:left w:val="none" w:sz="0" w:space="0" w:color="auto"/>
        <w:bottom w:val="none" w:sz="0" w:space="0" w:color="auto"/>
        <w:right w:val="none" w:sz="0" w:space="0" w:color="auto"/>
      </w:divBdr>
    </w:div>
    <w:div w:id="835654492">
      <w:marLeft w:val="0"/>
      <w:marRight w:val="0"/>
      <w:marTop w:val="0"/>
      <w:marBottom w:val="0"/>
      <w:divBdr>
        <w:top w:val="none" w:sz="0" w:space="0" w:color="auto"/>
        <w:left w:val="none" w:sz="0" w:space="0" w:color="auto"/>
        <w:bottom w:val="none" w:sz="0" w:space="0" w:color="auto"/>
        <w:right w:val="none" w:sz="0" w:space="0" w:color="auto"/>
      </w:divBdr>
    </w:div>
    <w:div w:id="835654493">
      <w:marLeft w:val="0"/>
      <w:marRight w:val="0"/>
      <w:marTop w:val="0"/>
      <w:marBottom w:val="0"/>
      <w:divBdr>
        <w:top w:val="none" w:sz="0" w:space="0" w:color="auto"/>
        <w:left w:val="none" w:sz="0" w:space="0" w:color="auto"/>
        <w:bottom w:val="none" w:sz="0" w:space="0" w:color="auto"/>
        <w:right w:val="none" w:sz="0" w:space="0" w:color="auto"/>
      </w:divBdr>
    </w:div>
    <w:div w:id="835654494">
      <w:marLeft w:val="0"/>
      <w:marRight w:val="0"/>
      <w:marTop w:val="0"/>
      <w:marBottom w:val="0"/>
      <w:divBdr>
        <w:top w:val="none" w:sz="0" w:space="0" w:color="auto"/>
        <w:left w:val="none" w:sz="0" w:space="0" w:color="auto"/>
        <w:bottom w:val="none" w:sz="0" w:space="0" w:color="auto"/>
        <w:right w:val="none" w:sz="0" w:space="0" w:color="auto"/>
      </w:divBdr>
    </w:div>
    <w:div w:id="835654495">
      <w:marLeft w:val="0"/>
      <w:marRight w:val="0"/>
      <w:marTop w:val="0"/>
      <w:marBottom w:val="0"/>
      <w:divBdr>
        <w:top w:val="none" w:sz="0" w:space="0" w:color="auto"/>
        <w:left w:val="none" w:sz="0" w:space="0" w:color="auto"/>
        <w:bottom w:val="none" w:sz="0" w:space="0" w:color="auto"/>
        <w:right w:val="none" w:sz="0" w:space="0" w:color="auto"/>
      </w:divBdr>
    </w:div>
    <w:div w:id="835654496">
      <w:marLeft w:val="0"/>
      <w:marRight w:val="0"/>
      <w:marTop w:val="0"/>
      <w:marBottom w:val="0"/>
      <w:divBdr>
        <w:top w:val="none" w:sz="0" w:space="0" w:color="auto"/>
        <w:left w:val="none" w:sz="0" w:space="0" w:color="auto"/>
        <w:bottom w:val="none" w:sz="0" w:space="0" w:color="auto"/>
        <w:right w:val="none" w:sz="0" w:space="0" w:color="auto"/>
      </w:divBdr>
    </w:div>
    <w:div w:id="835654497">
      <w:marLeft w:val="0"/>
      <w:marRight w:val="0"/>
      <w:marTop w:val="0"/>
      <w:marBottom w:val="0"/>
      <w:divBdr>
        <w:top w:val="none" w:sz="0" w:space="0" w:color="auto"/>
        <w:left w:val="none" w:sz="0" w:space="0" w:color="auto"/>
        <w:bottom w:val="none" w:sz="0" w:space="0" w:color="auto"/>
        <w:right w:val="none" w:sz="0" w:space="0" w:color="auto"/>
      </w:divBdr>
    </w:div>
    <w:div w:id="835654498">
      <w:marLeft w:val="0"/>
      <w:marRight w:val="0"/>
      <w:marTop w:val="0"/>
      <w:marBottom w:val="0"/>
      <w:divBdr>
        <w:top w:val="none" w:sz="0" w:space="0" w:color="auto"/>
        <w:left w:val="none" w:sz="0" w:space="0" w:color="auto"/>
        <w:bottom w:val="none" w:sz="0" w:space="0" w:color="auto"/>
        <w:right w:val="none" w:sz="0" w:space="0" w:color="auto"/>
      </w:divBdr>
    </w:div>
    <w:div w:id="835654499">
      <w:marLeft w:val="0"/>
      <w:marRight w:val="0"/>
      <w:marTop w:val="0"/>
      <w:marBottom w:val="0"/>
      <w:divBdr>
        <w:top w:val="none" w:sz="0" w:space="0" w:color="auto"/>
        <w:left w:val="none" w:sz="0" w:space="0" w:color="auto"/>
        <w:bottom w:val="none" w:sz="0" w:space="0" w:color="auto"/>
        <w:right w:val="none" w:sz="0" w:space="0" w:color="auto"/>
      </w:divBdr>
    </w:div>
    <w:div w:id="835654500">
      <w:marLeft w:val="0"/>
      <w:marRight w:val="0"/>
      <w:marTop w:val="0"/>
      <w:marBottom w:val="0"/>
      <w:divBdr>
        <w:top w:val="none" w:sz="0" w:space="0" w:color="auto"/>
        <w:left w:val="none" w:sz="0" w:space="0" w:color="auto"/>
        <w:bottom w:val="none" w:sz="0" w:space="0" w:color="auto"/>
        <w:right w:val="none" w:sz="0" w:space="0" w:color="auto"/>
      </w:divBdr>
    </w:div>
    <w:div w:id="835654501">
      <w:marLeft w:val="0"/>
      <w:marRight w:val="0"/>
      <w:marTop w:val="0"/>
      <w:marBottom w:val="0"/>
      <w:divBdr>
        <w:top w:val="none" w:sz="0" w:space="0" w:color="auto"/>
        <w:left w:val="none" w:sz="0" w:space="0" w:color="auto"/>
        <w:bottom w:val="none" w:sz="0" w:space="0" w:color="auto"/>
        <w:right w:val="none" w:sz="0" w:space="0" w:color="auto"/>
      </w:divBdr>
    </w:div>
    <w:div w:id="16691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1940</Words>
  <Characters>11063</Characters>
  <Application>Microsoft Office Word</Application>
  <DocSecurity>0</DocSecurity>
  <Lines>92</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HOTĂRÂRE</vt:lpstr>
      <vt:lpstr>HOTĂRÂRE</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HOTĂRÂRE</dc:title>
  <dc:subject/>
  <dc:creator>USER</dc:creator>
  <cp:keywords/>
  <dc:description/>
  <cp:lastModifiedBy>Aurelian Gavrilescu</cp:lastModifiedBy>
  <cp:revision>2</cp:revision>
  <cp:lastPrinted>2018-02-07T09:07:00Z</cp:lastPrinted>
  <dcterms:created xsi:type="dcterms:W3CDTF">2018-04-11T07:18:00Z</dcterms:created>
  <dcterms:modified xsi:type="dcterms:W3CDTF">2018-04-11T07:18:00Z</dcterms:modified>
</cp:coreProperties>
</file>