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0F" w:rsidRPr="00863736" w:rsidRDefault="0098030F" w:rsidP="002B53D7">
      <w:pPr>
        <w:jc w:val="center"/>
        <w:rPr>
          <w:b/>
          <w:caps/>
        </w:rPr>
      </w:pPr>
    </w:p>
    <w:p w:rsidR="00613945" w:rsidRPr="00863736" w:rsidRDefault="000E4141" w:rsidP="002B53D7">
      <w:pPr>
        <w:jc w:val="center"/>
        <w:rPr>
          <w:b/>
          <w:caps/>
        </w:rPr>
      </w:pPr>
      <w:r w:rsidRPr="00863736">
        <w:rPr>
          <w:b/>
          <w:caps/>
        </w:rPr>
        <w:t>NOTĂ DE FUNDAMENTARE</w:t>
      </w:r>
    </w:p>
    <w:p w:rsidR="0098030F" w:rsidRPr="00863736" w:rsidRDefault="0098030F" w:rsidP="002B53D7">
      <w:pPr>
        <w:jc w:val="center"/>
        <w:rPr>
          <w:b/>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900"/>
        <w:gridCol w:w="1080"/>
        <w:gridCol w:w="891"/>
        <w:gridCol w:w="993"/>
        <w:gridCol w:w="850"/>
        <w:gridCol w:w="1046"/>
      </w:tblGrid>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F4F61" w:rsidRPr="00863736" w:rsidRDefault="009F4F61" w:rsidP="002B53D7">
            <w:pPr>
              <w:jc w:val="center"/>
              <w:rPr>
                <w:b/>
              </w:rPr>
            </w:pPr>
          </w:p>
          <w:p w:rsidR="009E04BC" w:rsidRPr="00863736" w:rsidRDefault="009E04BC" w:rsidP="002B53D7">
            <w:pPr>
              <w:jc w:val="center"/>
              <w:rPr>
                <w:b/>
              </w:rPr>
            </w:pPr>
            <w:r w:rsidRPr="00863736">
              <w:rPr>
                <w:b/>
              </w:rPr>
              <w:t>Secţiunea 1</w:t>
            </w:r>
          </w:p>
          <w:p w:rsidR="00981C79" w:rsidRPr="00863736" w:rsidRDefault="009E04BC" w:rsidP="00FE6E31">
            <w:pPr>
              <w:jc w:val="center"/>
              <w:rPr>
                <w:b/>
              </w:rPr>
            </w:pPr>
            <w:r w:rsidRPr="00863736">
              <w:rPr>
                <w:b/>
              </w:rPr>
              <w:t xml:space="preserve">Titlul </w:t>
            </w:r>
            <w:r w:rsidR="00FE6E31" w:rsidRPr="00863736">
              <w:rPr>
                <w:b/>
              </w:rPr>
              <w:t>prezentului</w:t>
            </w:r>
            <w:r w:rsidR="009D6FBE" w:rsidRPr="00863736">
              <w:rPr>
                <w:b/>
              </w:rPr>
              <w:t xml:space="preserve"> </w:t>
            </w:r>
            <w:r w:rsidRPr="00863736">
              <w:rPr>
                <w:b/>
              </w:rPr>
              <w:t>act</w:t>
            </w:r>
            <w:r w:rsidR="0023780B" w:rsidRPr="00863736">
              <w:rPr>
                <w:b/>
              </w:rPr>
              <w:t xml:space="preserve"> </w:t>
            </w:r>
            <w:r w:rsidRPr="00863736">
              <w:rPr>
                <w:b/>
              </w:rPr>
              <w:t xml:space="preserve">normativ </w:t>
            </w:r>
          </w:p>
          <w:p w:rsidR="00FE6E31" w:rsidRPr="00863736" w:rsidRDefault="00FE6E31" w:rsidP="00FE6E31">
            <w:pPr>
              <w:jc w:val="center"/>
              <w:rPr>
                <w:b/>
              </w:rPr>
            </w:pPr>
          </w:p>
          <w:p w:rsidR="00981C79" w:rsidRPr="00863736" w:rsidRDefault="000E4B6F" w:rsidP="002B53D7">
            <w:pPr>
              <w:autoSpaceDE w:val="0"/>
              <w:autoSpaceDN w:val="0"/>
              <w:adjustRightInd w:val="0"/>
              <w:jc w:val="center"/>
            </w:pPr>
            <w:r w:rsidRPr="00863736">
              <w:t xml:space="preserve">HOTĂRÂRE </w:t>
            </w:r>
          </w:p>
          <w:p w:rsidR="0098030F" w:rsidRPr="00863736" w:rsidRDefault="000E4B6F" w:rsidP="002B53D7">
            <w:pPr>
              <w:autoSpaceDE w:val="0"/>
              <w:autoSpaceDN w:val="0"/>
              <w:adjustRightInd w:val="0"/>
              <w:jc w:val="center"/>
            </w:pPr>
            <w:r w:rsidRPr="00863736">
              <w:t>pentru stabilirea salariului de bază minim brut pe ţară garantat în plată</w:t>
            </w:r>
            <w:r w:rsidR="00185194" w:rsidRPr="00863736">
              <w:t xml:space="preserve">  </w:t>
            </w:r>
          </w:p>
          <w:p w:rsidR="00C0413D" w:rsidRPr="00863736" w:rsidRDefault="00C0413D" w:rsidP="002B53D7">
            <w:pPr>
              <w:autoSpaceDE w:val="0"/>
              <w:autoSpaceDN w:val="0"/>
              <w:adjustRightInd w:val="0"/>
              <w:jc w:val="center"/>
              <w:rPr>
                <w:b/>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F4F61" w:rsidRPr="00863736" w:rsidRDefault="009F4F61" w:rsidP="002B53D7">
            <w:pPr>
              <w:tabs>
                <w:tab w:val="left" w:pos="4215"/>
                <w:tab w:val="center" w:pos="5046"/>
              </w:tabs>
              <w:rPr>
                <w:b/>
              </w:rPr>
            </w:pPr>
            <w:r w:rsidRPr="00863736">
              <w:rPr>
                <w:b/>
              </w:rPr>
              <w:tab/>
            </w:r>
          </w:p>
          <w:p w:rsidR="009E04BC" w:rsidRPr="00863736" w:rsidRDefault="009F4F61" w:rsidP="002B53D7">
            <w:pPr>
              <w:tabs>
                <w:tab w:val="left" w:pos="4215"/>
                <w:tab w:val="center" w:pos="5046"/>
              </w:tabs>
              <w:rPr>
                <w:b/>
              </w:rPr>
            </w:pPr>
            <w:r w:rsidRPr="00863736">
              <w:rPr>
                <w:b/>
              </w:rPr>
              <w:tab/>
            </w:r>
            <w:r w:rsidR="009E04BC" w:rsidRPr="00863736">
              <w:rPr>
                <w:b/>
              </w:rPr>
              <w:t>Secţiunea a 2-a</w:t>
            </w:r>
          </w:p>
          <w:p w:rsidR="00B32745" w:rsidRPr="00863736" w:rsidRDefault="009E04BC" w:rsidP="002B53D7">
            <w:pPr>
              <w:jc w:val="center"/>
              <w:rPr>
                <w:b/>
              </w:rPr>
            </w:pPr>
            <w:r w:rsidRPr="00863736">
              <w:rPr>
                <w:b/>
              </w:rPr>
              <w:t>Motivul emiterii actului normativ</w:t>
            </w:r>
          </w:p>
          <w:p w:rsidR="009F4F61" w:rsidRPr="00863736" w:rsidRDefault="00ED78E8" w:rsidP="00AF7146">
            <w:pPr>
              <w:jc w:val="both"/>
            </w:pPr>
            <w:r>
              <w:t xml:space="preserve"> </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numPr>
                <w:ilvl w:val="0"/>
                <w:numId w:val="10"/>
              </w:numPr>
              <w:tabs>
                <w:tab w:val="clear" w:pos="720"/>
                <w:tab w:val="num" w:pos="0"/>
                <w:tab w:val="left" w:pos="356"/>
              </w:tabs>
              <w:ind w:left="0" w:firstLine="0"/>
              <w:jc w:val="both"/>
              <w:rPr>
                <w:b/>
              </w:rPr>
            </w:pPr>
            <w:r>
              <w:rPr>
                <w:b/>
              </w:rPr>
              <w:t>Descrierea situaţiei actuale</w:t>
            </w:r>
          </w:p>
          <w:p w:rsidR="00863736" w:rsidRPr="00863736" w:rsidRDefault="00863736" w:rsidP="00863736">
            <w:pPr>
              <w:tabs>
                <w:tab w:val="left" w:pos="356"/>
              </w:tabs>
              <w:jc w:val="both"/>
            </w:pPr>
            <w:r w:rsidRPr="00863736">
              <w:t>În conformitate cu articolul 164 din Legea nr.</w:t>
            </w:r>
            <w:r w:rsidR="00ED72E3">
              <w:t xml:space="preserve"> </w:t>
            </w:r>
            <w:r w:rsidRPr="00863736">
              <w:t xml:space="preserve">53/2003 - Codul muncii republicată, cu modificările și completările ulterioare, salariul de bază minim brut pe țară garantat în plată, corespunzător programului normal de muncă, se stabilește prin </w:t>
            </w:r>
            <w:r w:rsidR="00ED72E3">
              <w:t>H</w:t>
            </w:r>
            <w:r w:rsidRPr="00863736">
              <w:t>otărâre a Guvernului, după consultarea sindicatelor și a patronatelor.</w:t>
            </w:r>
          </w:p>
          <w:p w:rsidR="00ED72E3" w:rsidRDefault="00ED72E3" w:rsidP="00863736">
            <w:pPr>
              <w:tabs>
                <w:tab w:val="left" w:pos="356"/>
              </w:tabs>
              <w:jc w:val="both"/>
            </w:pPr>
          </w:p>
          <w:p w:rsidR="00863736" w:rsidRPr="00863736" w:rsidRDefault="00863736" w:rsidP="00863736">
            <w:pPr>
              <w:tabs>
                <w:tab w:val="left" w:pos="356"/>
              </w:tabs>
              <w:jc w:val="both"/>
            </w:pPr>
            <w:r w:rsidRPr="00863736">
              <w:t>La stabilirea salariului de bază minim brut pe țară garantat în plată s-au avut în vedere:</w:t>
            </w:r>
          </w:p>
          <w:p w:rsidR="00863736" w:rsidRPr="00863736" w:rsidRDefault="00863736" w:rsidP="00863736">
            <w:pPr>
              <w:tabs>
                <w:tab w:val="left" w:pos="356"/>
              </w:tabs>
              <w:jc w:val="both"/>
            </w:pPr>
            <w:r w:rsidRPr="00863736">
              <w:t>- art. 3 din Convenţia Organizaţiei Internaţionale a Muncii nr. 131/1970 privind fixarea salariilor minime, ratificată de România în 1975;</w:t>
            </w:r>
          </w:p>
          <w:p w:rsidR="00863736" w:rsidRPr="00863736" w:rsidRDefault="00863736" w:rsidP="00863736">
            <w:pPr>
              <w:tabs>
                <w:tab w:val="left" w:pos="356"/>
              </w:tabs>
              <w:jc w:val="both"/>
            </w:pPr>
            <w:r w:rsidRPr="00863736">
              <w:t>- reducerea numărului persoanelor salariate aflate în risc de sărăcie și excluziune socială;</w:t>
            </w:r>
          </w:p>
          <w:p w:rsidR="00EF00CD" w:rsidRDefault="00863736" w:rsidP="00863736">
            <w:pPr>
              <w:tabs>
                <w:tab w:val="left" w:pos="356"/>
              </w:tabs>
              <w:jc w:val="both"/>
            </w:pPr>
            <w:r w:rsidRPr="00863736">
              <w:t xml:space="preserve">- factorii de ordin economic, inclusiv cerinţele dezvoltării economice, productivitatea </w:t>
            </w:r>
            <w:r w:rsidR="00EF00CD">
              <w:t xml:space="preserve">muncii, evoluția indicelui prețurilor de consum </w:t>
            </w:r>
            <w:r w:rsidRPr="00863736">
              <w:t>şi interesul care există pentru a realiza şi a menţine un înalt nivel de folosire a for</w:t>
            </w:r>
            <w:r w:rsidR="00EF00CD">
              <w:t>ței de muncă;</w:t>
            </w:r>
            <w:r w:rsidRPr="00863736">
              <w:t xml:space="preserve">    </w:t>
            </w:r>
          </w:p>
          <w:p w:rsidR="00863736" w:rsidRPr="00EF00CD" w:rsidRDefault="00EF00CD" w:rsidP="00EF00CD">
            <w:pPr>
              <w:pStyle w:val="ListParagraph"/>
              <w:numPr>
                <w:ilvl w:val="0"/>
                <w:numId w:val="34"/>
              </w:numPr>
              <w:tabs>
                <w:tab w:val="left" w:pos="356"/>
              </w:tabs>
              <w:ind w:left="176" w:hanging="180"/>
              <w:jc w:val="both"/>
              <w:rPr>
                <w:sz w:val="24"/>
                <w:szCs w:val="24"/>
              </w:rPr>
            </w:pPr>
            <w:r w:rsidRPr="00EF00CD">
              <w:rPr>
                <w:rFonts w:ascii="Times New Roman" w:hAnsi="Times New Roman"/>
                <w:sz w:val="24"/>
                <w:szCs w:val="24"/>
              </w:rPr>
              <w:t xml:space="preserve">situația </w:t>
            </w:r>
            <w:r>
              <w:rPr>
                <w:rFonts w:ascii="Times New Roman" w:hAnsi="Times New Roman"/>
                <w:sz w:val="24"/>
                <w:szCs w:val="24"/>
              </w:rPr>
              <w:t>creată</w:t>
            </w:r>
            <w:r w:rsidRPr="00EF00CD">
              <w:rPr>
                <w:rFonts w:ascii="Times New Roman" w:hAnsi="Times New Roman"/>
                <w:sz w:val="24"/>
                <w:szCs w:val="24"/>
              </w:rPr>
              <w:t xml:space="preserve"> de </w:t>
            </w:r>
            <w:r>
              <w:rPr>
                <w:rFonts w:ascii="Times New Roman" w:hAnsi="Times New Roman"/>
                <w:sz w:val="24"/>
                <w:szCs w:val="24"/>
              </w:rPr>
              <w:t>evoluția pandemiei cu coronavirusul Covid-19.</w:t>
            </w:r>
          </w:p>
          <w:p w:rsidR="00ED72E3" w:rsidRDefault="00ED72E3" w:rsidP="00B471DB">
            <w:pPr>
              <w:autoSpaceDE w:val="0"/>
              <w:autoSpaceDN w:val="0"/>
              <w:adjustRightInd w:val="0"/>
              <w:jc w:val="both"/>
            </w:pPr>
          </w:p>
          <w:p w:rsidR="009F4F61" w:rsidRDefault="00E8102C" w:rsidP="00B471DB">
            <w:pPr>
              <w:autoSpaceDE w:val="0"/>
              <w:autoSpaceDN w:val="0"/>
              <w:adjustRightInd w:val="0"/>
              <w:jc w:val="both"/>
            </w:pPr>
            <w:r w:rsidRPr="00863736">
              <w:t xml:space="preserve">În prezent, salariul de bază minim brut pe ţară garantat în plată este stabilit la </w:t>
            </w:r>
            <w:r w:rsidR="00D9022A">
              <w:t>2.230</w:t>
            </w:r>
            <w:r w:rsidR="009B1716" w:rsidRPr="00863736">
              <w:t xml:space="preserve"> </w:t>
            </w:r>
            <w:r w:rsidR="00FE6E31" w:rsidRPr="00863736">
              <w:t>l</w:t>
            </w:r>
            <w:r w:rsidR="009B1716" w:rsidRPr="00863736">
              <w:t>ei lunar, pentru un program complet de lucru de 16</w:t>
            </w:r>
            <w:r w:rsidR="00ED78E8">
              <w:t xml:space="preserve">7,333 ore, în medie pe lună </w:t>
            </w:r>
            <w:r w:rsidR="00EF00CD">
              <w:t>în anul 2020</w:t>
            </w:r>
            <w:r w:rsidR="00D9022A">
              <w:t>, reprezentând 13,327</w:t>
            </w:r>
            <w:r w:rsidR="00ED78E8">
              <w:t xml:space="preserve"> lei/oră, în conformitate cu preveder</w:t>
            </w:r>
            <w:r w:rsidR="00D9022A">
              <w:t>ile Hotărârii Guvernului nr. 935/2019</w:t>
            </w:r>
            <w:r w:rsidR="00ED78E8">
              <w:t xml:space="preserve"> pentru stabilirea salariului de bază minim brut pe țară garantat în plată.  </w:t>
            </w:r>
          </w:p>
          <w:p w:rsidR="00340890" w:rsidRPr="00863736" w:rsidRDefault="00340890" w:rsidP="00ED72E3">
            <w:pPr>
              <w:autoSpaceDE w:val="0"/>
              <w:autoSpaceDN w:val="0"/>
              <w:adjustRightInd w:val="0"/>
              <w:jc w:val="both"/>
            </w:pPr>
          </w:p>
        </w:tc>
      </w:tr>
      <w:tr w:rsidR="000E2275" w:rsidRPr="00863736" w:rsidTr="002F4F04">
        <w:trPr>
          <w:trHeight w:val="440"/>
        </w:trPr>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numPr>
                <w:ilvl w:val="0"/>
                <w:numId w:val="10"/>
              </w:numPr>
              <w:tabs>
                <w:tab w:val="clear" w:pos="720"/>
                <w:tab w:val="num" w:pos="356"/>
              </w:tabs>
              <w:spacing w:before="100" w:beforeAutospacing="1" w:after="100" w:afterAutospacing="1"/>
              <w:ind w:hanging="720"/>
              <w:jc w:val="both"/>
              <w:rPr>
                <w:b/>
                <w:color w:val="000000" w:themeColor="text1"/>
              </w:rPr>
            </w:pPr>
            <w:r>
              <w:rPr>
                <w:b/>
                <w:color w:val="000000" w:themeColor="text1"/>
              </w:rPr>
              <w:t>Schimbări preconizate</w:t>
            </w:r>
          </w:p>
          <w:p w:rsidR="009F4F61" w:rsidRPr="00863736" w:rsidRDefault="00ED78E8" w:rsidP="00A911A3">
            <w:pPr>
              <w:spacing w:before="100" w:beforeAutospacing="1" w:after="100" w:afterAutospacing="1"/>
              <w:jc w:val="both"/>
              <w:rPr>
                <w:color w:val="000000" w:themeColor="text1"/>
              </w:rPr>
            </w:pPr>
            <w:r>
              <w:rPr>
                <w:color w:val="000000" w:themeColor="text1"/>
              </w:rPr>
              <w:t xml:space="preserve">Prin prezentul act normativ se propune ca salariul de bază minim brut pe ţară garantat în plată să fie majorat </w:t>
            </w:r>
            <w:r w:rsidR="00D4299E">
              <w:rPr>
                <w:color w:val="000000" w:themeColor="text1"/>
              </w:rPr>
              <w:t>la 2.300</w:t>
            </w:r>
            <w:r>
              <w:rPr>
                <w:color w:val="000000" w:themeColor="text1"/>
              </w:rPr>
              <w:t xml:space="preserve"> lei lunar înc</w:t>
            </w:r>
            <w:r w:rsidR="00EF00CD">
              <w:rPr>
                <w:color w:val="000000" w:themeColor="text1"/>
              </w:rPr>
              <w:t>epând cu data de 1 ianuarie 2021</w:t>
            </w:r>
            <w:r>
              <w:rPr>
                <w:color w:val="000000" w:themeColor="text1"/>
              </w:rPr>
              <w:t>, ceea</w:t>
            </w:r>
            <w:r w:rsidR="00D4299E">
              <w:rPr>
                <w:color w:val="000000" w:themeColor="text1"/>
              </w:rPr>
              <w:t xml:space="preserve"> ce reprezintă o creștere de 3</w:t>
            </w:r>
            <w:r>
              <w:rPr>
                <w:color w:val="000000" w:themeColor="text1"/>
              </w:rPr>
              <w:t xml:space="preserve"> %</w:t>
            </w:r>
            <w:r>
              <w:rPr>
                <w:b/>
                <w:color w:val="000000" w:themeColor="text1"/>
              </w:rPr>
              <w:t xml:space="preserve"> </w:t>
            </w:r>
            <w:r w:rsidR="00EF00CD">
              <w:rPr>
                <w:color w:val="000000" w:themeColor="text1"/>
              </w:rPr>
              <w:t>față de luna decembrie 2020</w:t>
            </w:r>
            <w:r>
              <w:rPr>
                <w:color w:val="000000" w:themeColor="text1"/>
              </w:rPr>
              <w:t xml:space="preserve">. </w:t>
            </w:r>
          </w:p>
          <w:p w:rsidR="00767AB1" w:rsidRPr="00863736" w:rsidRDefault="00EF00CD" w:rsidP="00A911A3">
            <w:pPr>
              <w:spacing w:before="100" w:beforeAutospacing="1" w:after="100" w:afterAutospacing="1"/>
              <w:jc w:val="both"/>
              <w:rPr>
                <w:color w:val="000000" w:themeColor="text1"/>
              </w:rPr>
            </w:pPr>
            <w:r>
              <w:rPr>
                <w:color w:val="000000" w:themeColor="text1"/>
              </w:rPr>
              <w:t>În anul 2020 tariful orar este de 13,327</w:t>
            </w:r>
            <w:r w:rsidR="00ED78E8">
              <w:rPr>
                <w:color w:val="000000" w:themeColor="text1"/>
              </w:rPr>
              <w:t xml:space="preserve"> lei/oră pentru un program complet de lucru </w:t>
            </w:r>
            <w:r>
              <w:rPr>
                <w:color w:val="000000" w:themeColor="text1"/>
              </w:rPr>
              <w:t>de 167,333 ore, iar în anul 2021</w:t>
            </w:r>
            <w:r w:rsidR="00ED78E8">
              <w:rPr>
                <w:color w:val="000000" w:themeColor="text1"/>
              </w:rPr>
              <w:t xml:space="preserve"> tariful orar es</w:t>
            </w:r>
            <w:r w:rsidR="00215A2C">
              <w:rPr>
                <w:color w:val="000000" w:themeColor="text1"/>
              </w:rPr>
              <w:t>te de 13,583</w:t>
            </w:r>
            <w:r w:rsidR="00ED78E8">
              <w:rPr>
                <w:color w:val="000000" w:themeColor="text1"/>
              </w:rPr>
              <w:t xml:space="preserve"> lei/oră pentru un</w:t>
            </w:r>
            <w:r>
              <w:rPr>
                <w:color w:val="000000" w:themeColor="text1"/>
              </w:rPr>
              <w:t xml:space="preserve"> program complet de lucru de 169</w:t>
            </w:r>
            <w:r w:rsidR="00ED78E8">
              <w:rPr>
                <w:color w:val="000000" w:themeColor="text1"/>
              </w:rPr>
              <w:t>,333 ore.</w:t>
            </w:r>
          </w:p>
          <w:p w:rsidR="00A911A3" w:rsidRDefault="00ED78E8" w:rsidP="00A911A3">
            <w:pPr>
              <w:spacing w:before="100" w:beforeAutospacing="1" w:after="100" w:afterAutospacing="1"/>
              <w:jc w:val="both"/>
            </w:pPr>
            <w:r w:rsidRPr="00165DBE">
              <w:t>La stabilirea salariului de bază minim brut pe țară ga</w:t>
            </w:r>
            <w:r w:rsidR="00EF00CD">
              <w:t>rantat în plată pentr</w:t>
            </w:r>
            <w:r w:rsidR="00215A2C">
              <w:t>u anul 2021 la valoarea de 2.300</w:t>
            </w:r>
            <w:r w:rsidR="00EF00CD">
              <w:t xml:space="preserve"> </w:t>
            </w:r>
            <w:r w:rsidRPr="00165DBE">
              <w:t xml:space="preserve"> lei s-a avut în vedere</w:t>
            </w:r>
            <w:r w:rsidR="001D3BD9" w:rsidRPr="00165DBE">
              <w:t xml:space="preserve"> o formulă de calcul care ia în considereare</w:t>
            </w:r>
            <w:r w:rsidRPr="00165DBE">
              <w:t xml:space="preserve"> rata inflației</w:t>
            </w:r>
            <w:r w:rsidR="00F2740C">
              <w:t xml:space="preserve"> de 2,2 %</w:t>
            </w:r>
            <w:r w:rsidRPr="00165DBE">
              <w:t xml:space="preserve"> și </w:t>
            </w:r>
            <w:r w:rsidR="00215A2C">
              <w:t>0,8</w:t>
            </w:r>
            <w:r w:rsidR="00F2740C">
              <w:t xml:space="preserve"> %</w:t>
            </w:r>
            <w:r w:rsidR="00215A2C">
              <w:t xml:space="preserve"> </w:t>
            </w:r>
            <w:r w:rsidRPr="00165DBE">
              <w:t>creșterea reală a pro</w:t>
            </w:r>
            <w:r w:rsidR="00215A2C">
              <w:t>ductivității muncii pe persoană</w:t>
            </w:r>
            <w:r w:rsidR="00F2740C">
              <w:t xml:space="preserve"> pentru anul 2020</w:t>
            </w:r>
            <w:r w:rsidR="00F326D4" w:rsidRPr="00165DBE">
              <w:t>.</w:t>
            </w:r>
          </w:p>
          <w:p w:rsidR="006B33C5" w:rsidRPr="006B33C5" w:rsidRDefault="006B33C5" w:rsidP="006B33C5">
            <w:pPr>
              <w:jc w:val="both"/>
              <w:rPr>
                <w:bCs/>
                <w:iCs/>
              </w:rPr>
            </w:pPr>
            <w:r w:rsidRPr="006B33C5">
              <w:rPr>
                <w:bCs/>
                <w:iCs/>
              </w:rPr>
              <w:t>La</w:t>
            </w:r>
            <w:r>
              <w:rPr>
                <w:bCs/>
                <w:iCs/>
              </w:rPr>
              <w:t xml:space="preserve"> stab</w:t>
            </w:r>
            <w:r w:rsidR="00CF1BC5">
              <w:rPr>
                <w:bCs/>
                <w:iCs/>
              </w:rPr>
              <w:t>i</w:t>
            </w:r>
            <w:r>
              <w:rPr>
                <w:bCs/>
                <w:iCs/>
              </w:rPr>
              <w:t>lirea acestui scenariu</w:t>
            </w:r>
            <w:r w:rsidRPr="006B33C5">
              <w:rPr>
                <w:bCs/>
                <w:iCs/>
              </w:rPr>
              <w:t xml:space="preserve"> au fost avute în vedere următoarele considerente:</w:t>
            </w:r>
          </w:p>
          <w:p w:rsidR="006B33C5" w:rsidRPr="006B33C5" w:rsidRDefault="006B33C5" w:rsidP="006B33C5">
            <w:pPr>
              <w:jc w:val="both"/>
              <w:rPr>
                <w:bCs/>
                <w:iCs/>
              </w:rPr>
            </w:pPr>
          </w:p>
          <w:p w:rsidR="006B33C5" w:rsidRPr="006B33C5" w:rsidRDefault="006B33C5" w:rsidP="006B33C5">
            <w:pPr>
              <w:numPr>
                <w:ilvl w:val="0"/>
                <w:numId w:val="35"/>
              </w:numPr>
              <w:jc w:val="both"/>
              <w:rPr>
                <w:bCs/>
                <w:iCs/>
              </w:rPr>
            </w:pPr>
            <w:r w:rsidRPr="006B33C5">
              <w:rPr>
                <w:bCs/>
                <w:iCs/>
              </w:rPr>
              <w:t xml:space="preserve">Pentru anul viitor, deși prognoza CNSP prezintă o creștere economică de 4,5 %, activitatea economică va depinde în mare măsură de evoluția crizei sanitare atât în România, cât și în principalele țări partenere - Germania, Franța, Italia, țări care au impus restricții noi ca urmare a unei creșteri abrupte a numărului de îmbolnăviri; </w:t>
            </w:r>
          </w:p>
          <w:p w:rsidR="006B33C5" w:rsidRPr="006B33C5" w:rsidRDefault="006B33C5" w:rsidP="006B33C5">
            <w:pPr>
              <w:numPr>
                <w:ilvl w:val="0"/>
                <w:numId w:val="35"/>
              </w:numPr>
              <w:jc w:val="both"/>
              <w:rPr>
                <w:bCs/>
                <w:iCs/>
              </w:rPr>
            </w:pPr>
            <w:r w:rsidRPr="006B33C5">
              <w:rPr>
                <w:bCs/>
                <w:iCs/>
              </w:rPr>
              <w:t>Confom datelor INSSE pandemia are un impact asimetric, afectând în principal salariații cu venituri mici;</w:t>
            </w:r>
          </w:p>
          <w:p w:rsidR="006B33C5" w:rsidRPr="006B33C5" w:rsidRDefault="006B33C5" w:rsidP="006B33C5">
            <w:pPr>
              <w:numPr>
                <w:ilvl w:val="0"/>
                <w:numId w:val="35"/>
              </w:numPr>
              <w:jc w:val="both"/>
              <w:rPr>
                <w:bCs/>
                <w:iCs/>
              </w:rPr>
            </w:pPr>
            <w:r w:rsidRPr="006B33C5">
              <w:rPr>
                <w:bCs/>
                <w:iCs/>
              </w:rPr>
              <w:lastRenderedPageBreak/>
              <w:t>Numărul important de angajați care au în prezent salariul minim de circa 1,4 milioane salariați, preponderent în mediul concurențial.</w:t>
            </w:r>
          </w:p>
          <w:p w:rsidR="006B33C5" w:rsidRPr="00CF1BC5" w:rsidRDefault="006B33C5" w:rsidP="00CF1BC5">
            <w:pPr>
              <w:numPr>
                <w:ilvl w:val="0"/>
                <w:numId w:val="35"/>
              </w:numPr>
              <w:autoSpaceDE w:val="0"/>
              <w:autoSpaceDN w:val="0"/>
              <w:rPr>
                <w:bCs/>
                <w:iCs/>
              </w:rPr>
            </w:pPr>
            <w:r w:rsidRPr="006B33C5">
              <w:rPr>
                <w:bCs/>
                <w:iCs/>
              </w:rPr>
              <w:t>Scăderea produsului intern brut față de valoarea prognozată la începutul anului 2020: 1141,1 mld. lei –început an, 1.050,0 mld. l</w:t>
            </w:r>
            <w:r w:rsidR="0036785B">
              <w:rPr>
                <w:bCs/>
                <w:iCs/>
              </w:rPr>
              <w:t xml:space="preserve">ei sfârșit de an scădere </w:t>
            </w:r>
            <w:r w:rsidR="00875B5F">
              <w:rPr>
                <w:bCs/>
                <w:iCs/>
              </w:rPr>
              <w:t>–</w:t>
            </w:r>
            <w:r w:rsidR="00CF1BC5">
              <w:rPr>
                <w:bCs/>
                <w:iCs/>
              </w:rPr>
              <w:t xml:space="preserve"> </w:t>
            </w:r>
            <w:r w:rsidRPr="00CF1BC5">
              <w:rPr>
                <w:bCs/>
                <w:iCs/>
              </w:rPr>
              <w:t>8,3 %.</w:t>
            </w:r>
          </w:p>
          <w:p w:rsidR="006B33C5" w:rsidRPr="006B33C5" w:rsidRDefault="006B33C5" w:rsidP="006B33C5">
            <w:pPr>
              <w:numPr>
                <w:ilvl w:val="0"/>
                <w:numId w:val="35"/>
              </w:numPr>
              <w:autoSpaceDE w:val="0"/>
              <w:autoSpaceDN w:val="0"/>
              <w:rPr>
                <w:bCs/>
                <w:iCs/>
              </w:rPr>
            </w:pPr>
            <w:r w:rsidRPr="006B33C5">
              <w:rPr>
                <w:bCs/>
                <w:iCs/>
              </w:rPr>
              <w:t>Evoluția câștigului salarial</w:t>
            </w:r>
            <w:r w:rsidRPr="006B33C5">
              <w:rPr>
                <w:b/>
                <w:bCs/>
                <w:iCs/>
              </w:rPr>
              <w:t xml:space="preserve"> </w:t>
            </w:r>
            <w:r w:rsidR="0036785B">
              <w:rPr>
                <w:bCs/>
                <w:iCs/>
              </w:rPr>
              <w:t>mediu brut lunar în</w:t>
            </w:r>
            <w:r w:rsidRPr="006B33C5">
              <w:rPr>
                <w:bCs/>
                <w:iCs/>
              </w:rPr>
              <w:t xml:space="preserve"> lei: început an 2020, 5.429 lei, prognozat sfârșit de an 5.160 , scădere  - 5,2 %.</w:t>
            </w:r>
          </w:p>
          <w:p w:rsidR="00767AB1" w:rsidRPr="00863736" w:rsidRDefault="00ED78E8" w:rsidP="00767AB1">
            <w:pPr>
              <w:spacing w:before="100" w:beforeAutospacing="1" w:after="100" w:afterAutospacing="1"/>
              <w:jc w:val="both"/>
              <w:rPr>
                <w:color w:val="000000" w:themeColor="text1"/>
              </w:rPr>
            </w:pPr>
            <w:r>
              <w:rPr>
                <w:color w:val="000000" w:themeColor="text1"/>
              </w:rPr>
              <w:t>Înc</w:t>
            </w:r>
            <w:r w:rsidR="00EF00CD">
              <w:rPr>
                <w:color w:val="000000" w:themeColor="text1"/>
              </w:rPr>
              <w:t>epând cu data de 1 ianuarie 2021</w:t>
            </w:r>
            <w:r>
              <w:rPr>
                <w:color w:val="000000" w:themeColor="text1"/>
              </w:rPr>
              <w:t xml:space="preserve">, </w:t>
            </w:r>
            <w:r w:rsidR="00F0286E" w:rsidRPr="00863736">
              <w:rPr>
                <w:color w:val="000000" w:themeColor="text1"/>
              </w:rPr>
              <w:t>pentru personalul încadrat pe funcţii pentru care se prevede nivelul de studii superioare, cu vechime în muncă de cel puţin un an în domeniul studiilor superioare,</w:t>
            </w:r>
            <w:r w:rsidR="00A911A3" w:rsidRPr="00863736">
              <w:rPr>
                <w:color w:val="000000" w:themeColor="text1"/>
              </w:rPr>
              <w:t xml:space="preserve"> salariul de bază minim brut pe ţară</w:t>
            </w:r>
            <w:r>
              <w:rPr>
                <w:color w:val="000000" w:themeColor="text1"/>
              </w:rPr>
              <w:t xml:space="preserve"> garantat în plată, sumă stabilită în bani care nu include sporuri şi alte adaosuri, se </w:t>
            </w:r>
            <w:r w:rsidR="003F112B">
              <w:rPr>
                <w:color w:val="000000" w:themeColor="text1"/>
              </w:rPr>
              <w:t xml:space="preserve">menține la suma de 2.350 </w:t>
            </w:r>
            <w:r>
              <w:rPr>
                <w:color w:val="000000" w:themeColor="text1"/>
              </w:rPr>
              <w:t>lei lunar.</w:t>
            </w:r>
          </w:p>
          <w:p w:rsidR="00767AB1" w:rsidRPr="00863736" w:rsidRDefault="00B22EAD" w:rsidP="00767AB1">
            <w:pPr>
              <w:spacing w:before="100" w:beforeAutospacing="1" w:after="100" w:afterAutospacing="1"/>
              <w:jc w:val="both"/>
              <w:rPr>
                <w:color w:val="000000" w:themeColor="text1"/>
              </w:rPr>
            </w:pPr>
            <w:r>
              <w:rPr>
                <w:color w:val="000000" w:themeColor="text1"/>
              </w:rPr>
              <w:t>În anul 2020</w:t>
            </w:r>
            <w:r w:rsidR="00ED78E8">
              <w:rPr>
                <w:color w:val="000000" w:themeColor="text1"/>
              </w:rPr>
              <w:t xml:space="preserve"> tariful orar corespunzător acestui salariu este de 14,044 lei/oră pentru un program complet de lucru </w:t>
            </w:r>
            <w:r>
              <w:rPr>
                <w:color w:val="000000" w:themeColor="text1"/>
              </w:rPr>
              <w:t>de 167,333 ore, iar în anul 2021</w:t>
            </w:r>
            <w:r w:rsidR="00ED78E8">
              <w:rPr>
                <w:color w:val="000000" w:themeColor="text1"/>
              </w:rPr>
              <w:t xml:space="preserve">  tariful orar </w:t>
            </w:r>
            <w:r w:rsidR="003F112B">
              <w:rPr>
                <w:color w:val="000000" w:themeColor="text1"/>
              </w:rPr>
              <w:t>este de 13,878</w:t>
            </w:r>
            <w:r w:rsidR="00ED78E8">
              <w:rPr>
                <w:color w:val="000000" w:themeColor="text1"/>
              </w:rPr>
              <w:t xml:space="preserve"> lei/oră pentru un program complet de </w:t>
            </w:r>
            <w:r>
              <w:rPr>
                <w:color w:val="000000" w:themeColor="text1"/>
              </w:rPr>
              <w:t>lucru de 169</w:t>
            </w:r>
            <w:r w:rsidR="00ED78E8">
              <w:rPr>
                <w:color w:val="000000" w:themeColor="text1"/>
              </w:rPr>
              <w:t>,333 ore.</w:t>
            </w:r>
          </w:p>
          <w:p w:rsidR="00A911A3" w:rsidRPr="00863736" w:rsidRDefault="00A911A3" w:rsidP="00767AB1">
            <w:pPr>
              <w:jc w:val="both"/>
              <w:rPr>
                <w:color w:val="000000" w:themeColor="text1"/>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3B79E1" w:rsidRPr="00863736" w:rsidRDefault="00ED78E8" w:rsidP="002B53D7">
            <w:pPr>
              <w:jc w:val="both"/>
              <w:rPr>
                <w:b/>
                <w:color w:val="000000" w:themeColor="text1"/>
              </w:rPr>
            </w:pPr>
            <w:r>
              <w:rPr>
                <w:b/>
                <w:color w:val="000000" w:themeColor="text1"/>
              </w:rPr>
              <w:lastRenderedPageBreak/>
              <w:t>3.    Alte informaţii</w:t>
            </w:r>
          </w:p>
          <w:p w:rsidR="004D1B6D" w:rsidRPr="00863736" w:rsidRDefault="00ED78E8" w:rsidP="00E63C21">
            <w:pPr>
              <w:jc w:val="both"/>
              <w:rPr>
                <w:color w:val="000000" w:themeColor="text1"/>
              </w:rPr>
            </w:pPr>
            <w:r>
              <w:rPr>
                <w:color w:val="000000" w:themeColor="text1"/>
              </w:rPr>
              <w:t>Prin prevederile art. 139 alin. (1) din Legea nr. 53/2003 republicată – Codul muncii sunt stabilite zilele de sărbătoare legală în care nu se lucrează. Durata medie lunară a timpului de muncă, potrivit acestei legi, se modifică în mod corespunzător în funcţie de calendarul anului respectiv şi de distribuţia zilelor de sărbătoare legală, faţă de zilele de repaus săptămânal.</w:t>
            </w:r>
          </w:p>
          <w:p w:rsidR="0070628D" w:rsidRPr="00863736" w:rsidRDefault="00103A2F" w:rsidP="00E63C21">
            <w:pPr>
              <w:jc w:val="both"/>
              <w:rPr>
                <w:color w:val="000000" w:themeColor="text1"/>
              </w:rPr>
            </w:pPr>
            <w:r>
              <w:rPr>
                <w:color w:val="000000" w:themeColor="text1"/>
              </w:rPr>
              <w:t>Pentru anul 2020</w:t>
            </w:r>
            <w:r w:rsidR="00ED78E8">
              <w:rPr>
                <w:color w:val="000000" w:themeColor="text1"/>
              </w:rPr>
              <w:t>, durata medie lunară a timpului de muncă, determinată în condiţiile Legii nr. 53/2003 republicată, este de 167,333 ore.</w:t>
            </w:r>
          </w:p>
          <w:p w:rsidR="004D1B6D" w:rsidRPr="00863736" w:rsidRDefault="00ED78E8" w:rsidP="00E63C21">
            <w:pPr>
              <w:jc w:val="both"/>
              <w:rPr>
                <w:color w:val="000000" w:themeColor="text1"/>
              </w:rPr>
            </w:pPr>
            <w:r>
              <w:rPr>
                <w:color w:val="000000" w:themeColor="text1"/>
              </w:rPr>
              <w:t>Pent</w:t>
            </w:r>
            <w:r w:rsidR="00103A2F">
              <w:rPr>
                <w:color w:val="000000" w:themeColor="text1"/>
              </w:rPr>
              <w:t>ru anul 2021</w:t>
            </w:r>
            <w:r>
              <w:rPr>
                <w:color w:val="000000" w:themeColor="text1"/>
              </w:rPr>
              <w:t xml:space="preserve">, durata medie lunară a timpului de muncă, determinată în condiţiile Legii nr. </w:t>
            </w:r>
            <w:r w:rsidR="00103A2F">
              <w:rPr>
                <w:color w:val="000000" w:themeColor="text1"/>
              </w:rPr>
              <w:t>53/2003 republicată, este de 169</w:t>
            </w:r>
            <w:r>
              <w:rPr>
                <w:color w:val="000000" w:themeColor="text1"/>
              </w:rPr>
              <w:t>,333 ore.</w:t>
            </w:r>
          </w:p>
          <w:p w:rsidR="009F4F61" w:rsidRPr="00863736" w:rsidRDefault="009F4F61" w:rsidP="004B62F8">
            <w:pPr>
              <w:jc w:val="both"/>
              <w:rPr>
                <w:color w:val="000000" w:themeColor="text1"/>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5A31FD" w:rsidRPr="00863736" w:rsidRDefault="00ED78E8" w:rsidP="002B53D7">
            <w:pPr>
              <w:tabs>
                <w:tab w:val="left" w:pos="4524"/>
              </w:tabs>
              <w:rPr>
                <w:b/>
                <w:color w:val="000000" w:themeColor="text1"/>
              </w:rPr>
            </w:pPr>
            <w:r>
              <w:rPr>
                <w:b/>
                <w:color w:val="000000" w:themeColor="text1"/>
              </w:rPr>
              <w:tab/>
            </w:r>
          </w:p>
          <w:p w:rsidR="009E04BC" w:rsidRPr="00863736" w:rsidRDefault="00ED78E8" w:rsidP="002B53D7">
            <w:pPr>
              <w:jc w:val="center"/>
              <w:rPr>
                <w:b/>
                <w:color w:val="000000" w:themeColor="text1"/>
              </w:rPr>
            </w:pPr>
            <w:r>
              <w:rPr>
                <w:b/>
                <w:color w:val="000000" w:themeColor="text1"/>
              </w:rPr>
              <w:t>Secţiunea a 3-a</w:t>
            </w:r>
          </w:p>
          <w:p w:rsidR="00B32745" w:rsidRPr="00863736" w:rsidRDefault="00ED78E8" w:rsidP="002B53D7">
            <w:pPr>
              <w:jc w:val="center"/>
              <w:rPr>
                <w:b/>
                <w:color w:val="000000" w:themeColor="text1"/>
              </w:rPr>
            </w:pPr>
            <w:r>
              <w:rPr>
                <w:b/>
                <w:color w:val="000000" w:themeColor="text1"/>
              </w:rPr>
              <w:t>Impactul socio-economic al prezentului act normativ</w:t>
            </w:r>
          </w:p>
          <w:p w:rsidR="0098030F" w:rsidRPr="00863736" w:rsidRDefault="0098030F" w:rsidP="002B53D7">
            <w:pPr>
              <w:jc w:val="center"/>
              <w:rPr>
                <w:b/>
                <w:color w:val="000000" w:themeColor="text1"/>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numPr>
                <w:ilvl w:val="0"/>
                <w:numId w:val="28"/>
              </w:numPr>
              <w:jc w:val="both"/>
              <w:rPr>
                <w:b/>
                <w:bCs/>
                <w:color w:val="000000" w:themeColor="text1"/>
              </w:rPr>
            </w:pPr>
            <w:r>
              <w:rPr>
                <w:b/>
                <w:bCs/>
                <w:color w:val="000000" w:themeColor="text1"/>
              </w:rPr>
              <w:t>Impactul macroeconomic</w:t>
            </w:r>
          </w:p>
          <w:p w:rsidR="00ED72E3" w:rsidRPr="0089107B" w:rsidRDefault="00ED78E8" w:rsidP="008D541A">
            <w:pPr>
              <w:autoSpaceDE w:val="0"/>
              <w:autoSpaceDN w:val="0"/>
              <w:adjustRightInd w:val="0"/>
              <w:jc w:val="both"/>
              <w:rPr>
                <w:sz w:val="23"/>
                <w:szCs w:val="23"/>
              </w:rPr>
            </w:pPr>
            <w:r>
              <w:rPr>
                <w:color w:val="000000" w:themeColor="text1"/>
                <w:sz w:val="23"/>
                <w:szCs w:val="23"/>
              </w:rPr>
              <w:t>În România beneficiază de salariul minim brut garantat în plată</w:t>
            </w:r>
            <w:r w:rsidR="00051F09">
              <w:rPr>
                <w:color w:val="000000" w:themeColor="text1"/>
                <w:sz w:val="23"/>
                <w:szCs w:val="23"/>
              </w:rPr>
              <w:t xml:space="preserve"> de 2.230</w:t>
            </w:r>
            <w:r w:rsidR="00340890">
              <w:rPr>
                <w:color w:val="000000" w:themeColor="text1"/>
                <w:sz w:val="23"/>
                <w:szCs w:val="23"/>
              </w:rPr>
              <w:t xml:space="preserve"> lei</w:t>
            </w:r>
            <w:r>
              <w:rPr>
                <w:color w:val="000000" w:themeColor="text1"/>
                <w:sz w:val="23"/>
                <w:szCs w:val="23"/>
              </w:rPr>
              <w:t xml:space="preserve"> un număr de </w:t>
            </w:r>
            <w:r w:rsidR="00051F09">
              <w:rPr>
                <w:color w:val="000000" w:themeColor="text1"/>
                <w:sz w:val="23"/>
                <w:szCs w:val="23"/>
              </w:rPr>
              <w:t xml:space="preserve">circa </w:t>
            </w:r>
            <w:r w:rsidR="00051F09">
              <w:rPr>
                <w:b/>
                <w:bCs/>
                <w:color w:val="000000" w:themeColor="text1"/>
                <w:sz w:val="23"/>
                <w:szCs w:val="23"/>
              </w:rPr>
              <w:t>1.400.000</w:t>
            </w:r>
            <w:r>
              <w:rPr>
                <w:color w:val="000000" w:themeColor="text1"/>
                <w:sz w:val="16"/>
                <w:szCs w:val="16"/>
              </w:rPr>
              <w:t xml:space="preserve"> </w:t>
            </w:r>
            <w:r>
              <w:rPr>
                <w:color w:val="000000" w:themeColor="text1"/>
                <w:sz w:val="23"/>
                <w:szCs w:val="23"/>
              </w:rPr>
              <w:t>de salariați, ceea ce reprezi</w:t>
            </w:r>
            <w:r w:rsidR="00051F09">
              <w:rPr>
                <w:color w:val="000000" w:themeColor="text1"/>
                <w:sz w:val="23"/>
                <w:szCs w:val="23"/>
              </w:rPr>
              <w:t>ntă un procent de aproximativ 26,4</w:t>
            </w:r>
            <w:r w:rsidR="00C70FA9">
              <w:rPr>
                <w:color w:val="000000" w:themeColor="text1"/>
                <w:sz w:val="23"/>
                <w:szCs w:val="23"/>
              </w:rPr>
              <w:t xml:space="preserve"> </w:t>
            </w:r>
            <w:r>
              <w:rPr>
                <w:color w:val="000000" w:themeColor="text1"/>
                <w:sz w:val="23"/>
                <w:szCs w:val="23"/>
              </w:rPr>
              <w:t xml:space="preserve">% din numărul total de salariați activi - </w:t>
            </w:r>
            <w:r w:rsidR="00051F09">
              <w:rPr>
                <w:b/>
                <w:bCs/>
                <w:color w:val="000000" w:themeColor="text1"/>
                <w:sz w:val="23"/>
                <w:szCs w:val="23"/>
              </w:rPr>
              <w:t>5.300.000</w:t>
            </w:r>
            <w:r>
              <w:rPr>
                <w:color w:val="000000" w:themeColor="text1"/>
                <w:sz w:val="23"/>
                <w:szCs w:val="23"/>
              </w:rPr>
              <w:t xml:space="preserve">. </w:t>
            </w:r>
          </w:p>
          <w:p w:rsidR="0033761A" w:rsidRPr="00863736" w:rsidRDefault="00ED78E8" w:rsidP="007032D3">
            <w:pPr>
              <w:autoSpaceDE w:val="0"/>
              <w:autoSpaceDN w:val="0"/>
              <w:adjustRightInd w:val="0"/>
              <w:jc w:val="both"/>
              <w:rPr>
                <w:color w:val="000000" w:themeColor="text1"/>
              </w:rPr>
            </w:pPr>
            <w:r>
              <w:rPr>
                <w:color w:val="000000" w:themeColor="text1"/>
              </w:rPr>
              <w:t>Se estimează</w:t>
            </w:r>
            <w:r w:rsidR="00ED72E3">
              <w:rPr>
                <w:color w:val="000000" w:themeColor="text1"/>
              </w:rPr>
              <w:t>,</w:t>
            </w:r>
            <w:r>
              <w:rPr>
                <w:color w:val="000000" w:themeColor="text1"/>
              </w:rPr>
              <w:t xml:space="preserve"> totodată</w:t>
            </w:r>
            <w:r w:rsidR="00ED72E3">
              <w:rPr>
                <w:color w:val="000000" w:themeColor="text1"/>
              </w:rPr>
              <w:t>,</w:t>
            </w:r>
            <w:r>
              <w:rPr>
                <w:color w:val="000000" w:themeColor="text1"/>
              </w:rPr>
              <w:t xml:space="preserve"> că majorarea propusă va avea efecte pozitive asupra creșterii economice prin stimularea ocupării, creşterii puterii de cumpărare a salariaţilor și reducerii muncii la negru. </w:t>
            </w:r>
          </w:p>
          <w:p w:rsidR="00D603CF" w:rsidRPr="00863736" w:rsidRDefault="00ED78E8" w:rsidP="007032D3">
            <w:pPr>
              <w:autoSpaceDE w:val="0"/>
              <w:autoSpaceDN w:val="0"/>
              <w:adjustRightInd w:val="0"/>
              <w:jc w:val="both"/>
              <w:rPr>
                <w:color w:val="000000" w:themeColor="text1"/>
              </w:rPr>
            </w:pPr>
            <w:r>
              <w:rPr>
                <w:color w:val="000000" w:themeColor="text1"/>
                <w:sz w:val="23"/>
                <w:szCs w:val="23"/>
              </w:rPr>
              <w:t xml:space="preserve">Majorarea </w:t>
            </w:r>
            <w:r>
              <w:rPr>
                <w:color w:val="000000" w:themeColor="text1"/>
              </w:rPr>
              <w:t>salariului de bază minim brut pe țară garantat în plată are impact asupra creșterii consumului cu o influență și asupra importului bunurilor de consum.</w:t>
            </w:r>
          </w:p>
          <w:p w:rsidR="00ED72E3" w:rsidRDefault="00ED78E8" w:rsidP="007032D3">
            <w:pPr>
              <w:autoSpaceDE w:val="0"/>
              <w:autoSpaceDN w:val="0"/>
              <w:adjustRightInd w:val="0"/>
              <w:jc w:val="both"/>
              <w:rPr>
                <w:color w:val="000000" w:themeColor="text1"/>
              </w:rPr>
            </w:pPr>
            <w:r>
              <w:rPr>
                <w:color w:val="000000" w:themeColor="text1"/>
              </w:rPr>
              <w:t>Creșterea salariului minim poate avea efecte pozitive asupra ocupării în sectoarele în care există cerere de forță de muncă datorită faptului că munca devine mai atractivă pentru anumite categorii de salariați(femei, tineri,etc.)</w:t>
            </w:r>
            <w:r w:rsidR="00340890">
              <w:rPr>
                <w:color w:val="000000" w:themeColor="text1"/>
              </w:rPr>
              <w:t>.</w:t>
            </w:r>
          </w:p>
          <w:p w:rsidR="00340890" w:rsidRPr="00761ECA" w:rsidRDefault="001647E8" w:rsidP="007032D3">
            <w:pPr>
              <w:autoSpaceDE w:val="0"/>
              <w:autoSpaceDN w:val="0"/>
              <w:adjustRightInd w:val="0"/>
              <w:jc w:val="both"/>
            </w:pPr>
            <w:r>
              <w:t>M</w:t>
            </w:r>
            <w:r w:rsidR="00674F07">
              <w:t xml:space="preserve">ajorarea salariului </w:t>
            </w:r>
            <w:r w:rsidR="00674F07" w:rsidRPr="00C0755B">
              <w:t>de baza minim brut pe tara</w:t>
            </w:r>
            <w:r w:rsidR="00340890" w:rsidRPr="00761ECA">
              <w:t xml:space="preserve"> </w:t>
            </w:r>
            <w:r>
              <w:t xml:space="preserve">influențează, pe lângă </w:t>
            </w:r>
            <w:r>
              <w:rPr>
                <w:color w:val="000000" w:themeColor="text1"/>
                <w:sz w:val="23"/>
                <w:szCs w:val="23"/>
              </w:rPr>
              <w:t xml:space="preserve">cei </w:t>
            </w:r>
            <w:r w:rsidR="00051F09">
              <w:rPr>
                <w:b/>
                <w:bCs/>
                <w:color w:val="000000" w:themeColor="text1"/>
                <w:sz w:val="23"/>
                <w:szCs w:val="23"/>
              </w:rPr>
              <w:t>1.400.000</w:t>
            </w:r>
            <w:r>
              <w:rPr>
                <w:color w:val="000000" w:themeColor="text1"/>
                <w:sz w:val="16"/>
                <w:szCs w:val="16"/>
              </w:rPr>
              <w:t xml:space="preserve"> </w:t>
            </w:r>
            <w:r>
              <w:rPr>
                <w:color w:val="000000" w:themeColor="text1"/>
                <w:sz w:val="23"/>
                <w:szCs w:val="23"/>
              </w:rPr>
              <w:t>de salariați direct afectați, și</w:t>
            </w:r>
            <w:r w:rsidRPr="00761ECA">
              <w:t xml:space="preserve"> </w:t>
            </w:r>
            <w:r>
              <w:t>mult mai multe</w:t>
            </w:r>
            <w:r w:rsidR="00340890" w:rsidRPr="00761ECA">
              <w:t xml:space="preserve"> drepturi și obligații, cum ar fi: </w:t>
            </w:r>
          </w:p>
          <w:p w:rsidR="0089107B" w:rsidRDefault="0089107B" w:rsidP="007032D3">
            <w:pPr>
              <w:autoSpaceDE w:val="0"/>
              <w:autoSpaceDN w:val="0"/>
              <w:adjustRightInd w:val="0"/>
              <w:jc w:val="both"/>
            </w:pPr>
            <w:r w:rsidRPr="00C0755B">
              <w:t xml:space="preserve">- modificarea salariului de baza minim brut pe </w:t>
            </w:r>
            <w:r w:rsidR="00ED72E3">
              <w:t>ț</w:t>
            </w:r>
            <w:r w:rsidRPr="00C0755B">
              <w:t>ar</w:t>
            </w:r>
            <w:r w:rsidR="00ED72E3">
              <w:t>ă</w:t>
            </w:r>
            <w:r w:rsidRPr="00C0755B">
              <w:t xml:space="preserve"> determin</w:t>
            </w:r>
            <w:r w:rsidR="00ED72E3">
              <w:t>ă</w:t>
            </w:r>
            <w:r w:rsidRPr="00C0755B">
              <w:t xml:space="preserve"> cre</w:t>
            </w:r>
            <w:r w:rsidR="00ED72E3">
              <w:t>ș</w:t>
            </w:r>
            <w:r w:rsidRPr="00C0755B">
              <w:t>terea contribu</w:t>
            </w:r>
            <w:r w:rsidR="00ED72E3">
              <w:t>ț</w:t>
            </w:r>
            <w:r w:rsidRPr="00C0755B">
              <w:t xml:space="preserve">iei pentru persoane cu handicap neincadrate </w:t>
            </w:r>
            <w:r w:rsidR="00ED72E3">
              <w:t>î</w:t>
            </w:r>
            <w:r w:rsidRPr="00C0755B">
              <w:t>ntruc</w:t>
            </w:r>
            <w:r w:rsidR="00ED72E3">
              <w:t>â</w:t>
            </w:r>
            <w:r w:rsidRPr="00C0755B">
              <w:t>t acest calcul se raporteaz</w:t>
            </w:r>
            <w:r w:rsidR="00ED72E3">
              <w:t>ă</w:t>
            </w:r>
            <w:r w:rsidRPr="00C0755B">
              <w:t xml:space="preserve"> la salariul minim</w:t>
            </w:r>
            <w:r>
              <w:t xml:space="preserve"> (</w:t>
            </w:r>
            <w:r w:rsidR="00FB4634">
              <w:t>Legea nr.</w:t>
            </w:r>
            <w:r w:rsidR="00ED72E3">
              <w:t xml:space="preserve"> </w:t>
            </w:r>
            <w:r>
              <w:t xml:space="preserve"> 448/2006 art.78(3));</w:t>
            </w:r>
          </w:p>
          <w:p w:rsidR="0089107B" w:rsidRDefault="0089107B" w:rsidP="007032D3">
            <w:pPr>
              <w:autoSpaceDE w:val="0"/>
              <w:autoSpaceDN w:val="0"/>
              <w:adjustRightInd w:val="0"/>
              <w:jc w:val="both"/>
            </w:pPr>
            <w:r w:rsidRPr="00C0755B">
              <w:t>- modificarea bazei anual</w:t>
            </w:r>
            <w:r w:rsidR="00ED72E3">
              <w:t>e</w:t>
            </w:r>
            <w:r w:rsidRPr="00C0755B">
              <w:t xml:space="preserve"> de calcul al contribu</w:t>
            </w:r>
            <w:r w:rsidR="00ED72E3">
              <w:t>ț</w:t>
            </w:r>
            <w:r w:rsidRPr="00C0755B">
              <w:t>iei de asigur</w:t>
            </w:r>
            <w:r w:rsidR="00ED72E3">
              <w:t>ă</w:t>
            </w:r>
            <w:r w:rsidRPr="00C0755B">
              <w:t xml:space="preserve">ri sociale </w:t>
            </w:r>
            <w:r w:rsidR="00ED72E3">
              <w:t>î</w:t>
            </w:r>
            <w:r w:rsidRPr="00C0755B">
              <w:t>n cazul persoanelor care realizeaz</w:t>
            </w:r>
            <w:r w:rsidR="00ED72E3">
              <w:t>ă</w:t>
            </w:r>
            <w:r w:rsidRPr="00C0755B">
              <w:t xml:space="preserve"> venituri din activit</w:t>
            </w:r>
            <w:r w:rsidR="00ED72E3">
              <w:t>ăț</w:t>
            </w:r>
            <w:r w:rsidRPr="00C0755B">
              <w:t>i independente/drepturi de proprietate intelectual</w:t>
            </w:r>
            <w:r w:rsidR="00ED72E3">
              <w:t>ă</w:t>
            </w:r>
            <w:r w:rsidRPr="00C0755B">
              <w:t xml:space="preserve"> </w:t>
            </w:r>
            <w:r w:rsidR="00ED72E3">
              <w:t>î</w:t>
            </w:r>
            <w:r w:rsidRPr="00C0755B">
              <w:t>ntruc</w:t>
            </w:r>
            <w:r w:rsidR="00ED72E3">
              <w:t>â</w:t>
            </w:r>
            <w:r w:rsidRPr="00C0755B">
              <w:t xml:space="preserve">t venitul ales de contribuabil nu poate fi mai mic decât nivelul a 12 salarii minime brute pe </w:t>
            </w:r>
            <w:r>
              <w:t>ţ</w:t>
            </w:r>
            <w:r w:rsidRPr="00C0755B">
              <w:t>ar</w:t>
            </w:r>
            <w:r>
              <w:t>ă</w:t>
            </w:r>
            <w:r w:rsidRPr="00C0755B">
              <w:t>, în vigoare la termenul de depunere a declara</w:t>
            </w:r>
            <w:r>
              <w:t>ţ</w:t>
            </w:r>
            <w:r w:rsidRPr="00C0755B">
              <w:t>iei unice privind veniturile estimate</w:t>
            </w:r>
            <w:r w:rsidR="00ED72E3">
              <w:t xml:space="preserve"> </w:t>
            </w:r>
            <w:r>
              <w:t>(Legea 227/2015 art.151);</w:t>
            </w:r>
          </w:p>
          <w:p w:rsidR="0089107B" w:rsidRDefault="0089107B" w:rsidP="007032D3">
            <w:pPr>
              <w:autoSpaceDE w:val="0"/>
              <w:autoSpaceDN w:val="0"/>
              <w:adjustRightInd w:val="0"/>
              <w:jc w:val="both"/>
            </w:pPr>
            <w:r>
              <w:rPr>
                <w:color w:val="000000" w:themeColor="text1"/>
              </w:rPr>
              <w:t xml:space="preserve">- </w:t>
            </w:r>
            <w:r w:rsidRPr="00C0755B">
              <w:t xml:space="preserve">majorarea plafonului </w:t>
            </w:r>
            <w:r w:rsidR="00ED72E3">
              <w:t>î</w:t>
            </w:r>
            <w:r w:rsidRPr="00C0755B">
              <w:t>n func</w:t>
            </w:r>
            <w:r w:rsidR="00ED72E3">
              <w:t>ț</w:t>
            </w:r>
            <w:r w:rsidRPr="00C0755B">
              <w:t>ie de care persoanelor fizice ce obtin venituri non-salariale le poate reveni obliga</w:t>
            </w:r>
            <w:r w:rsidR="002F2B99">
              <w:t>ț</w:t>
            </w:r>
            <w:r w:rsidRPr="00C0755B">
              <w:t>ia de a pl</w:t>
            </w:r>
            <w:r w:rsidR="002F2B99">
              <w:t>ă</w:t>
            </w:r>
            <w:r w:rsidRPr="00C0755B">
              <w:t>ti contribu</w:t>
            </w:r>
            <w:r w:rsidR="002F2B99">
              <w:t>ț</w:t>
            </w:r>
            <w:r w:rsidRPr="00C0755B">
              <w:t>ii de asigur</w:t>
            </w:r>
            <w:r w:rsidR="002F2B99">
              <w:t>ă</w:t>
            </w:r>
            <w:r w:rsidRPr="00C0755B">
              <w:t xml:space="preserve">ri sociale </w:t>
            </w:r>
            <w:r w:rsidR="002F2B99">
              <w:t>ș</w:t>
            </w:r>
            <w:r w:rsidRPr="00C0755B">
              <w:t>i asigur</w:t>
            </w:r>
            <w:r w:rsidR="002F2B99">
              <w:t>ă</w:t>
            </w:r>
            <w:r w:rsidRPr="00C0755B">
              <w:t>ri sociale de s</w:t>
            </w:r>
            <w:r w:rsidR="002F2B99">
              <w:t>ă</w:t>
            </w:r>
            <w:r w:rsidRPr="00C0755B">
              <w:t>n</w:t>
            </w:r>
            <w:r w:rsidR="002F2B99">
              <w:t>ă</w:t>
            </w:r>
            <w:r w:rsidRPr="00C0755B">
              <w:t xml:space="preserve">tate </w:t>
            </w:r>
            <w:r w:rsidR="002F2B99">
              <w:t>î</w:t>
            </w:r>
            <w:r w:rsidRPr="00C0755B">
              <w:t>ntruc</w:t>
            </w:r>
            <w:r w:rsidR="002F2B99">
              <w:t>â</w:t>
            </w:r>
            <w:r w:rsidRPr="00C0755B">
              <w:t>t aceste plafoane se determin</w:t>
            </w:r>
            <w:r w:rsidR="002F2B99">
              <w:t>ă</w:t>
            </w:r>
            <w:r w:rsidRPr="00C0755B">
              <w:t xml:space="preserve"> </w:t>
            </w:r>
            <w:r w:rsidR="002F2B99">
              <w:t>î</w:t>
            </w:r>
            <w:r w:rsidRPr="00C0755B">
              <w:t>n func</w:t>
            </w:r>
            <w:r w:rsidR="002F2B99">
              <w:t>ț</w:t>
            </w:r>
            <w:r w:rsidRPr="00C0755B">
              <w:t>ie de nivelul salariului de baz</w:t>
            </w:r>
            <w:r w:rsidR="002F2B99">
              <w:t>ă</w:t>
            </w:r>
            <w:r w:rsidRPr="00C0755B">
              <w:t xml:space="preserve"> minim brut pe </w:t>
            </w:r>
            <w:r w:rsidR="002F2B99">
              <w:t>ț</w:t>
            </w:r>
            <w:r w:rsidRPr="00C0755B">
              <w:t>ar</w:t>
            </w:r>
            <w:r w:rsidR="002F2B99">
              <w:t>ă</w:t>
            </w:r>
            <w:r w:rsidRPr="00C0755B">
              <w:t xml:space="preserve"> </w:t>
            </w:r>
            <w:r w:rsidR="002F2B99">
              <w:t>î</w:t>
            </w:r>
            <w:r w:rsidRPr="00C0755B">
              <w:t>n vigoare la termenul de depunere a declara</w:t>
            </w:r>
            <w:r w:rsidR="002F2B99">
              <w:t>ț</w:t>
            </w:r>
            <w:r w:rsidRPr="00C0755B">
              <w:t>iei unice pentru veniturile estimate</w:t>
            </w:r>
            <w:r>
              <w:t xml:space="preserve"> </w:t>
            </w:r>
            <w:r w:rsidR="00D9343D">
              <w:t>–</w:t>
            </w:r>
            <w:r w:rsidR="002F2B99">
              <w:t xml:space="preserve"> </w:t>
            </w:r>
            <w:r w:rsidR="00D9343D">
              <w:t>(</w:t>
            </w:r>
            <w:r>
              <w:t>Legea 227/</w:t>
            </w:r>
            <w:r w:rsidR="00CD6998">
              <w:t>2015-art</w:t>
            </w:r>
            <w:r w:rsidR="00D9343D">
              <w:t>.</w:t>
            </w:r>
            <w:r w:rsidR="00CD6998">
              <w:t>145 (1) lit.b)</w:t>
            </w:r>
            <w:r>
              <w:rPr>
                <w:i/>
                <w:iCs/>
                <w:sz w:val="28"/>
                <w:szCs w:val="28"/>
              </w:rPr>
              <w:t>;</w:t>
            </w:r>
            <w:r>
              <w:t>art.180);</w:t>
            </w:r>
          </w:p>
          <w:p w:rsidR="0089107B" w:rsidRDefault="0089107B" w:rsidP="0089107B">
            <w:pPr>
              <w:pStyle w:val="NormalWeb"/>
              <w:spacing w:before="0" w:beforeAutospacing="0" w:after="0" w:afterAutospacing="0"/>
            </w:pPr>
            <w:r>
              <w:t>- majorarea normelor de venit pentru veniturile din activit</w:t>
            </w:r>
            <w:r w:rsidR="00B619FA">
              <w:rPr>
                <w:lang w:val="ro-RO"/>
              </w:rPr>
              <w:t>ăț</w:t>
            </w:r>
            <w:r>
              <w:t>i independente impuse pe baza normelor de venit. Norma de venit</w:t>
            </w:r>
            <w:r w:rsidR="00B619FA">
              <w:t xml:space="preserve"> pentru fiecare activitate desfăș</w:t>
            </w:r>
            <w:r>
              <w:t>urat</w:t>
            </w:r>
            <w:r w:rsidR="00B619FA">
              <w:t>ă</w:t>
            </w:r>
            <w:r>
              <w:t xml:space="preserve"> de contribuabil nu poate fi mai mic</w:t>
            </w:r>
            <w:r w:rsidR="00B619FA">
              <w:t>ă decâ</w:t>
            </w:r>
            <w:r>
              <w:t>t sa</w:t>
            </w:r>
            <w:r w:rsidR="00B619FA">
              <w:t>lariul de baza minim brut pe țară</w:t>
            </w:r>
            <w:r>
              <w:t xml:space="preserve"> garantat</w:t>
            </w:r>
            <w:r w:rsidR="00B619FA">
              <w:t xml:space="preserve"> î</w:t>
            </w:r>
            <w:r>
              <w:t>n plat</w:t>
            </w:r>
            <w:r w:rsidR="00B619FA">
              <w:t>ă</w:t>
            </w:r>
            <w:r>
              <w:t xml:space="preserve">, </w:t>
            </w:r>
            <w:r w:rsidR="00B619FA">
              <w:t>î</w:t>
            </w:r>
            <w:r>
              <w:t xml:space="preserve">n vigoare la momentul stabilirii acesteia, </w:t>
            </w:r>
            <w:r w:rsidR="00B619FA">
              <w:t>înmulț</w:t>
            </w:r>
            <w:r>
              <w:t>it cu 12. (Legea 227/2015 – art.69(3))</w:t>
            </w:r>
            <w:r w:rsidR="00ED72E3">
              <w:t>.</w:t>
            </w:r>
          </w:p>
          <w:p w:rsidR="0089107B" w:rsidRDefault="0089107B" w:rsidP="007032D3">
            <w:pPr>
              <w:autoSpaceDE w:val="0"/>
              <w:autoSpaceDN w:val="0"/>
              <w:adjustRightInd w:val="0"/>
              <w:jc w:val="both"/>
            </w:pPr>
          </w:p>
          <w:p w:rsidR="006E00E4" w:rsidRDefault="006E00E4" w:rsidP="007032D3">
            <w:pPr>
              <w:autoSpaceDE w:val="0"/>
              <w:autoSpaceDN w:val="0"/>
              <w:adjustRightInd w:val="0"/>
              <w:jc w:val="both"/>
              <w:rPr>
                <w:color w:val="000000" w:themeColor="text1"/>
              </w:rPr>
            </w:pPr>
          </w:p>
          <w:p w:rsidR="00850621" w:rsidRPr="00863736" w:rsidRDefault="00ED78E8" w:rsidP="002B53D7">
            <w:pPr>
              <w:jc w:val="both"/>
              <w:rPr>
                <w:b/>
                <w:iCs/>
                <w:color w:val="000000" w:themeColor="text1"/>
              </w:rPr>
            </w:pPr>
            <w:r>
              <w:rPr>
                <w:b/>
                <w:iCs/>
                <w:color w:val="000000" w:themeColor="text1"/>
              </w:rPr>
              <w:t>1.</w:t>
            </w:r>
            <w:r>
              <w:rPr>
                <w:b/>
                <w:iCs/>
                <w:color w:val="000000" w:themeColor="text1"/>
                <w:vertAlign w:val="superscript"/>
              </w:rPr>
              <w:t>1</w:t>
            </w:r>
            <w:r>
              <w:rPr>
                <w:b/>
                <w:iCs/>
                <w:color w:val="000000" w:themeColor="text1"/>
              </w:rPr>
              <w:t xml:space="preserve"> Impactul asupra mediului concurenţial şi domeniului ajutoarelor de stat </w:t>
            </w:r>
          </w:p>
          <w:p w:rsidR="00250ACA" w:rsidRPr="00863736" w:rsidRDefault="00ED78E8" w:rsidP="006E00E4">
            <w:pPr>
              <w:jc w:val="both"/>
              <w:rPr>
                <w:color w:val="000000" w:themeColor="text1"/>
              </w:rPr>
            </w:pPr>
            <w:r>
              <w:rPr>
                <w:i/>
                <w:iCs/>
                <w:color w:val="000000" w:themeColor="text1"/>
              </w:rPr>
              <w:t xml:space="preserve">   </w:t>
            </w:r>
            <w:r>
              <w:rPr>
                <w:iCs/>
                <w:color w:val="000000" w:themeColor="text1"/>
              </w:rPr>
              <w:t>Măsura creșterii salariului minim</w:t>
            </w:r>
            <w:r>
              <w:rPr>
                <w:i/>
                <w:iCs/>
                <w:color w:val="000000" w:themeColor="text1"/>
              </w:rPr>
              <w:t xml:space="preserve"> </w:t>
            </w:r>
            <w:r>
              <w:rPr>
                <w:color w:val="000000" w:themeColor="text1"/>
              </w:rPr>
              <w:t xml:space="preserve">afectează </w:t>
            </w:r>
            <w:r w:rsidR="006E00E4">
              <w:rPr>
                <w:color w:val="000000" w:themeColor="text1"/>
              </w:rPr>
              <w:t>multiple</w:t>
            </w:r>
            <w:r w:rsidR="001647E8">
              <w:rPr>
                <w:color w:val="000000" w:themeColor="text1"/>
              </w:rPr>
              <w:t xml:space="preserve"> sectoare de activitate</w:t>
            </w:r>
            <w:r>
              <w:rPr>
                <w:color w:val="000000" w:themeColor="text1"/>
              </w:rPr>
              <w:t xml:space="preserve"> cum ar fi comerțul, transporturile și întreprinderile mici și mijlocii unde nivelul salariilor este mai mic față de medie cu influențe asupra creșterii cheltuielilor cu forța de muncă.</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both"/>
              <w:rPr>
                <w:b/>
                <w:bCs/>
                <w:color w:val="000000" w:themeColor="text1"/>
              </w:rPr>
            </w:pPr>
            <w:r>
              <w:rPr>
                <w:b/>
                <w:bCs/>
                <w:color w:val="000000" w:themeColor="text1"/>
              </w:rPr>
              <w:t>2. Impactul asupra mediului de afaceri</w:t>
            </w:r>
          </w:p>
          <w:p w:rsidR="006E00E4" w:rsidRDefault="00AF7C32" w:rsidP="00EB0E0A">
            <w:pPr>
              <w:jc w:val="both"/>
              <w:rPr>
                <w:sz w:val="23"/>
                <w:szCs w:val="23"/>
              </w:rPr>
            </w:pPr>
            <w:r>
              <w:rPr>
                <w:sz w:val="23"/>
                <w:szCs w:val="23"/>
              </w:rPr>
              <w:t>Majorarea salariului minim brut pe țară a condus la majorarea costului unitar cu forța de muncă și la scăderea profitabilității firmelor din sectoarele industriei producătoare de bunuri de consum.</w:t>
            </w:r>
            <w:r w:rsidR="006E00E4">
              <w:rPr>
                <w:sz w:val="23"/>
                <w:szCs w:val="23"/>
              </w:rPr>
              <w:t xml:space="preserve"> </w:t>
            </w:r>
          </w:p>
          <w:p w:rsidR="00EB0E0A" w:rsidRPr="006E00E4" w:rsidRDefault="00EB0E0A" w:rsidP="00EB0E0A">
            <w:pPr>
              <w:jc w:val="both"/>
              <w:rPr>
                <w:sz w:val="23"/>
                <w:szCs w:val="23"/>
              </w:rPr>
            </w:pPr>
            <w:r>
              <w:rPr>
                <w:iCs/>
                <w:color w:val="000000" w:themeColor="text1"/>
              </w:rPr>
              <w:t>Măsura creșterii salariului minim</w:t>
            </w:r>
            <w:r>
              <w:rPr>
                <w:i/>
                <w:iCs/>
                <w:color w:val="000000" w:themeColor="text1"/>
              </w:rPr>
              <w:t xml:space="preserve"> </w:t>
            </w:r>
            <w:r w:rsidR="006E00E4">
              <w:rPr>
                <w:color w:val="000000" w:themeColor="text1"/>
              </w:rPr>
              <w:t>afectează sectoare</w:t>
            </w:r>
            <w:r>
              <w:rPr>
                <w:color w:val="000000" w:themeColor="text1"/>
              </w:rPr>
              <w:t xml:space="preserve"> cum ar fi comerțul, transporturile și întreprinderile mici și mijlocii unde nivelul salariilor este mai mic fa</w:t>
            </w:r>
            <w:r w:rsidRPr="00863736">
              <w:rPr>
                <w:color w:val="000000" w:themeColor="text1"/>
              </w:rPr>
              <w:t>ță de medie</w:t>
            </w:r>
            <w:r>
              <w:rPr>
                <w:color w:val="000000" w:themeColor="text1"/>
              </w:rPr>
              <w:t>,</w:t>
            </w:r>
            <w:r w:rsidRPr="00863736">
              <w:rPr>
                <w:color w:val="000000" w:themeColor="text1"/>
              </w:rPr>
              <w:t xml:space="preserve"> cu influențe asupra creșterii cheltuielilor cu forța de muncă.</w:t>
            </w:r>
          </w:p>
          <w:p w:rsidR="00173A5A" w:rsidRDefault="00B619FA" w:rsidP="00A00345">
            <w:pPr>
              <w:jc w:val="both"/>
              <w:rPr>
                <w:sz w:val="23"/>
                <w:szCs w:val="23"/>
              </w:rPr>
            </w:pPr>
            <w:r>
              <w:rPr>
                <w:sz w:val="23"/>
                <w:szCs w:val="23"/>
              </w:rPr>
              <w:t>Î</w:t>
            </w:r>
            <w:r w:rsidR="00AF7C32">
              <w:rPr>
                <w:sz w:val="23"/>
                <w:szCs w:val="23"/>
              </w:rPr>
              <w:t>n ramurile comerţ cu amănuntul cu excepţia autovehiculelor şi motocicletelor, comerţ cu ridicata cu excepţia comerţului cu autovehicule şi motociclete şi transporturi terestre şi transporturi prin conducte</w:t>
            </w:r>
            <w:r w:rsidR="00AF7C32">
              <w:rPr>
                <w:sz w:val="16"/>
                <w:szCs w:val="16"/>
              </w:rPr>
              <w:t xml:space="preserve"> </w:t>
            </w:r>
            <w:r w:rsidR="00AF7C32">
              <w:rPr>
                <w:sz w:val="23"/>
                <w:szCs w:val="23"/>
              </w:rPr>
              <w:t>sunt concentraţi peste 30% din salariaţii remuneraţi la nivelul salariului minim, fiind astfel principalele ramuri influenţate de măsura de majorare a salariului minim.</w:t>
            </w:r>
          </w:p>
          <w:p w:rsidR="006F416B" w:rsidRPr="00AF7C32" w:rsidRDefault="006F416B" w:rsidP="00A00345">
            <w:pPr>
              <w:jc w:val="both"/>
              <w:rPr>
                <w:color w:val="000000" w:themeColor="text1"/>
              </w:rPr>
            </w:pPr>
            <w:r>
              <w:rPr>
                <w:sz w:val="23"/>
                <w:szCs w:val="23"/>
              </w:rPr>
              <w:t>Alte sectoare economice vulnerabile sunt: activități de investigații și protecție, restaurante și alte activități de servicii alimentație, industria alimentară.</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EF7EA0" w:rsidRPr="00863736" w:rsidRDefault="00ED78E8" w:rsidP="002B53D7">
            <w:pPr>
              <w:jc w:val="both"/>
              <w:rPr>
                <w:b/>
                <w:bCs/>
                <w:color w:val="000000" w:themeColor="text1"/>
              </w:rPr>
            </w:pPr>
            <w:r>
              <w:rPr>
                <w:b/>
                <w:bCs/>
                <w:color w:val="000000" w:themeColor="text1"/>
              </w:rPr>
              <w:t>2.</w:t>
            </w:r>
            <w:r>
              <w:rPr>
                <w:b/>
                <w:bCs/>
                <w:color w:val="000000" w:themeColor="text1"/>
                <w:vertAlign w:val="superscript"/>
              </w:rPr>
              <w:t>1</w:t>
            </w:r>
            <w:r>
              <w:rPr>
                <w:b/>
                <w:bCs/>
                <w:color w:val="000000" w:themeColor="text1"/>
              </w:rPr>
              <w:t xml:space="preserve"> Impactul asupra sarcinilor administrative:</w:t>
            </w:r>
          </w:p>
          <w:p w:rsidR="00EF7EA0" w:rsidRPr="00863736" w:rsidRDefault="00ED78E8" w:rsidP="002B53D7">
            <w:pPr>
              <w:jc w:val="both"/>
              <w:rPr>
                <w:bCs/>
                <w:color w:val="000000" w:themeColor="text1"/>
              </w:rPr>
            </w:pPr>
            <w:r>
              <w:rPr>
                <w:b/>
                <w:bCs/>
                <w:color w:val="000000" w:themeColor="text1"/>
              </w:rPr>
              <w:t xml:space="preserve">   </w:t>
            </w:r>
            <w:r>
              <w:rPr>
                <w:bCs/>
                <w:color w:val="000000" w:themeColor="text1"/>
              </w:rPr>
              <w:t>Nu este cazul</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8D7895" w:rsidRDefault="00ED78E8" w:rsidP="008D7895">
            <w:pPr>
              <w:jc w:val="both"/>
              <w:rPr>
                <w:b/>
                <w:color w:val="000000" w:themeColor="text1"/>
              </w:rPr>
            </w:pPr>
            <w:r>
              <w:rPr>
                <w:b/>
                <w:color w:val="000000" w:themeColor="text1"/>
              </w:rPr>
              <w:t>2.</w:t>
            </w:r>
            <w:r>
              <w:rPr>
                <w:b/>
                <w:color w:val="000000" w:themeColor="text1"/>
                <w:vertAlign w:val="superscript"/>
              </w:rPr>
              <w:t xml:space="preserve">2 </w:t>
            </w:r>
            <w:r>
              <w:rPr>
                <w:b/>
                <w:color w:val="000000" w:themeColor="text1"/>
              </w:rPr>
              <w:t>Impactul asupra întreprinderilor mici şi mijlocii:</w:t>
            </w:r>
          </w:p>
          <w:p w:rsidR="00EF7EA0" w:rsidRDefault="00E835B3" w:rsidP="008B34DD">
            <w:pPr>
              <w:jc w:val="both"/>
              <w:rPr>
                <w:color w:val="000000" w:themeColor="text1"/>
                <w:lang w:eastAsia="en-GB"/>
              </w:rPr>
            </w:pPr>
            <w:r>
              <w:rPr>
                <w:bCs/>
                <w:color w:val="000000" w:themeColor="text1"/>
              </w:rPr>
              <w:t>A fost îndeplinită</w:t>
            </w:r>
            <w:r w:rsidR="00ED78E8">
              <w:rPr>
                <w:color w:val="000000" w:themeColor="text1"/>
              </w:rPr>
              <w:t xml:space="preserve"> procedura privind efectuarea testului IMM, prevăzută de Legea </w:t>
            </w:r>
            <w:r w:rsidR="00ED78E8">
              <w:rPr>
                <w:color w:val="000000" w:themeColor="text1"/>
                <w:lang w:eastAsia="en-GB"/>
              </w:rPr>
              <w:t>nr. 346/2004 privind stimularea înfiinţării şi dezvoltării întreprinderilor mici şi mijlocii.</w:t>
            </w:r>
            <w:r w:rsidR="008D7895">
              <w:rPr>
                <w:color w:val="000000" w:themeColor="text1"/>
                <w:lang w:eastAsia="en-GB"/>
              </w:rPr>
              <w:t xml:space="preserve"> Într-o primă etapă, în baza Analizei de impact</w:t>
            </w:r>
            <w:r w:rsidR="00CB681D">
              <w:rPr>
                <w:color w:val="000000" w:themeColor="text1"/>
                <w:lang w:eastAsia="en-GB"/>
              </w:rPr>
              <w:t>,</w:t>
            </w:r>
            <w:r w:rsidR="008D7895">
              <w:rPr>
                <w:color w:val="000000" w:themeColor="text1"/>
                <w:lang w:eastAsia="en-GB"/>
              </w:rPr>
              <w:t xml:space="preserve"> s-a efectuat o pretestare printr-un chestionar care evalua punctul acestora de vedere cu referire la </w:t>
            </w:r>
            <w:r w:rsidR="002A0CE0">
              <w:rPr>
                <w:color w:val="000000" w:themeColor="text1"/>
                <w:lang w:eastAsia="en-GB"/>
              </w:rPr>
              <w:t>scenariul propus</w:t>
            </w:r>
            <w:r w:rsidR="008D7895">
              <w:rPr>
                <w:color w:val="000000" w:themeColor="text1"/>
                <w:lang w:eastAsia="en-GB"/>
              </w:rPr>
              <w:t xml:space="preserve"> astfel încât să se țină cont de opinia acestora în etapa incipientă de reglementare. Ulterior</w:t>
            </w:r>
            <w:r>
              <w:rPr>
                <w:color w:val="000000" w:themeColor="text1"/>
                <w:lang w:eastAsia="en-GB"/>
              </w:rPr>
              <w:t>,</w:t>
            </w:r>
            <w:r w:rsidR="008D7895">
              <w:rPr>
                <w:color w:val="000000" w:themeColor="text1"/>
                <w:lang w:eastAsia="en-GB"/>
              </w:rPr>
              <w:t xml:space="preserve"> </w:t>
            </w:r>
            <w:r>
              <w:rPr>
                <w:color w:val="000000" w:themeColor="text1"/>
                <w:lang w:eastAsia="en-GB"/>
              </w:rPr>
              <w:t xml:space="preserve">în urma </w:t>
            </w:r>
            <w:r w:rsidR="008B34DD">
              <w:rPr>
                <w:color w:val="000000" w:themeColor="text1"/>
                <w:lang w:eastAsia="en-GB"/>
              </w:rPr>
              <w:t xml:space="preserve">elaborării prezentului proiect de </w:t>
            </w:r>
            <w:r w:rsidR="00B619FA">
              <w:rPr>
                <w:color w:val="000000" w:themeColor="text1"/>
                <w:lang w:eastAsia="en-GB"/>
              </w:rPr>
              <w:t xml:space="preserve">hotărâre a </w:t>
            </w:r>
            <w:r w:rsidR="008B34DD">
              <w:rPr>
                <w:color w:val="000000" w:themeColor="text1"/>
                <w:lang w:eastAsia="en-GB"/>
              </w:rPr>
              <w:t>G</w:t>
            </w:r>
            <w:r w:rsidR="00B619FA">
              <w:rPr>
                <w:color w:val="000000" w:themeColor="text1"/>
                <w:lang w:eastAsia="en-GB"/>
              </w:rPr>
              <w:t>uvernului</w:t>
            </w:r>
            <w:r w:rsidR="008B34DD">
              <w:rPr>
                <w:color w:val="000000" w:themeColor="text1"/>
                <w:lang w:eastAsia="en-GB"/>
              </w:rPr>
              <w:t xml:space="preserve">, chestionarul </w:t>
            </w:r>
            <w:r>
              <w:rPr>
                <w:color w:val="000000" w:themeColor="text1"/>
                <w:lang w:eastAsia="en-GB"/>
              </w:rPr>
              <w:t xml:space="preserve">a fost </w:t>
            </w:r>
            <w:r w:rsidR="00CB681D">
              <w:rPr>
                <w:color w:val="000000" w:themeColor="text1"/>
                <w:lang w:eastAsia="en-GB"/>
              </w:rPr>
              <w:t>realizat</w:t>
            </w:r>
            <w:r>
              <w:rPr>
                <w:color w:val="000000" w:themeColor="text1"/>
                <w:lang w:eastAsia="en-GB"/>
              </w:rPr>
              <w:t xml:space="preserve"> pornind de</w:t>
            </w:r>
            <w:r w:rsidR="008B34DD">
              <w:rPr>
                <w:color w:val="000000" w:themeColor="text1"/>
                <w:lang w:eastAsia="en-GB"/>
              </w:rPr>
              <w:t xml:space="preserve"> la varianta agreată în urma consultărilor cu partenerii sociali și </w:t>
            </w:r>
            <w:r>
              <w:rPr>
                <w:color w:val="000000" w:themeColor="text1"/>
                <w:lang w:eastAsia="en-GB"/>
              </w:rPr>
              <w:t>a fost</w:t>
            </w:r>
            <w:r w:rsidR="008B34DD">
              <w:rPr>
                <w:color w:val="000000" w:themeColor="text1"/>
                <w:lang w:eastAsia="en-GB"/>
              </w:rPr>
              <w:t>, de asemenea, larg diseminat</w:t>
            </w:r>
            <w:r>
              <w:rPr>
                <w:color w:val="000000" w:themeColor="text1"/>
                <w:lang w:eastAsia="en-GB"/>
              </w:rPr>
              <w:t>,</w:t>
            </w:r>
            <w:r w:rsidR="008B34DD">
              <w:rPr>
                <w:color w:val="000000" w:themeColor="text1"/>
                <w:lang w:eastAsia="en-GB"/>
              </w:rPr>
              <w:t xml:space="preserve"> spre consultare</w:t>
            </w:r>
            <w:r>
              <w:rPr>
                <w:color w:val="000000" w:themeColor="text1"/>
                <w:lang w:eastAsia="en-GB"/>
              </w:rPr>
              <w:t>,</w:t>
            </w:r>
            <w:r w:rsidR="008B34DD">
              <w:rPr>
                <w:color w:val="000000" w:themeColor="text1"/>
                <w:lang w:eastAsia="en-GB"/>
              </w:rPr>
              <w:t xml:space="preserve"> în mediul IMM.</w:t>
            </w:r>
          </w:p>
          <w:p w:rsidR="008B34DD" w:rsidRPr="00173A5A" w:rsidRDefault="008B34DD" w:rsidP="008B34DD">
            <w:pPr>
              <w:jc w:val="both"/>
              <w:rPr>
                <w:bCs/>
                <w:color w:val="FF0000"/>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numPr>
                <w:ilvl w:val="0"/>
                <w:numId w:val="10"/>
              </w:numPr>
              <w:tabs>
                <w:tab w:val="clear" w:pos="720"/>
                <w:tab w:val="num" w:pos="176"/>
              </w:tabs>
              <w:ind w:left="356" w:hanging="356"/>
              <w:jc w:val="both"/>
              <w:rPr>
                <w:b/>
                <w:bCs/>
                <w:color w:val="000000" w:themeColor="text1"/>
              </w:rPr>
            </w:pPr>
            <w:r>
              <w:rPr>
                <w:b/>
                <w:bCs/>
                <w:color w:val="000000" w:themeColor="text1"/>
              </w:rPr>
              <w:t>Impactul social</w:t>
            </w:r>
          </w:p>
          <w:p w:rsidR="00A1686C" w:rsidRPr="00863736" w:rsidRDefault="00ED78E8" w:rsidP="00F0286E">
            <w:pPr>
              <w:jc w:val="both"/>
              <w:rPr>
                <w:color w:val="000000" w:themeColor="text1"/>
              </w:rPr>
            </w:pPr>
            <w:r>
              <w:rPr>
                <w:color w:val="000000" w:themeColor="text1"/>
              </w:rPr>
              <w:t xml:space="preserve">Prezentul act normativ are un impact social important, asigurând creşterea nivelului de trai şi reducerea decalajelor sociale, precum și diferențierea salariului de bază pentru nivelul de studii superioare. </w:t>
            </w:r>
          </w:p>
          <w:p w:rsidR="00E620F3" w:rsidRPr="00863736" w:rsidRDefault="00ED78E8" w:rsidP="00E620F3">
            <w:pPr>
              <w:autoSpaceDE w:val="0"/>
              <w:autoSpaceDN w:val="0"/>
              <w:adjustRightInd w:val="0"/>
              <w:jc w:val="both"/>
              <w:rPr>
                <w:color w:val="000000" w:themeColor="text1"/>
              </w:rPr>
            </w:pPr>
            <w:r>
              <w:rPr>
                <w:color w:val="000000" w:themeColor="text1"/>
              </w:rPr>
              <w:t>De asemenea creșterea salariului minim brut acompaniat de unele măsuri complementare orientate spre reducere nivelului sărăciei și integrarea grupurilor vulnerabile pe piața muncii, poate conduce la reducerea inegalităților în venituri.</w:t>
            </w:r>
          </w:p>
          <w:p w:rsidR="00E620F3" w:rsidRPr="00863736" w:rsidRDefault="00E620F3" w:rsidP="00F0286E">
            <w:pPr>
              <w:jc w:val="both"/>
              <w:rPr>
                <w:color w:val="000000" w:themeColor="text1"/>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both"/>
              <w:rPr>
                <w:b/>
              </w:rPr>
            </w:pPr>
            <w:r>
              <w:rPr>
                <w:b/>
              </w:rPr>
              <w:t>4. Impactul asupra mediului</w:t>
            </w:r>
          </w:p>
          <w:p w:rsidR="00FE6E31" w:rsidRPr="00863736" w:rsidRDefault="00ED78E8" w:rsidP="002B53D7">
            <w:pPr>
              <w:autoSpaceDE w:val="0"/>
              <w:autoSpaceDN w:val="0"/>
              <w:adjustRightInd w:val="0"/>
              <w:jc w:val="both"/>
            </w:pPr>
            <w:r>
              <w:t xml:space="preserve">    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423C5A" w:rsidRPr="00863736" w:rsidRDefault="00ED78E8" w:rsidP="002B53D7">
            <w:pPr>
              <w:jc w:val="both"/>
              <w:rPr>
                <w:b/>
                <w:bCs/>
              </w:rPr>
            </w:pPr>
            <w:r>
              <w:rPr>
                <w:b/>
                <w:bCs/>
              </w:rPr>
              <w:t>5. Alte informaţii</w:t>
            </w:r>
          </w:p>
          <w:p w:rsidR="00FE6E31" w:rsidRPr="00996FA3" w:rsidRDefault="00996FA3" w:rsidP="00D44FFD">
            <w:pPr>
              <w:jc w:val="both"/>
            </w:pPr>
            <w:r>
              <w:t>Nu este cazul.</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8030F" w:rsidRPr="00863736" w:rsidRDefault="0098030F" w:rsidP="002B53D7">
            <w:pPr>
              <w:jc w:val="center"/>
              <w:rPr>
                <w:b/>
              </w:rPr>
            </w:pPr>
          </w:p>
          <w:p w:rsidR="009E04BC" w:rsidRPr="00863736" w:rsidRDefault="00ED78E8" w:rsidP="002B53D7">
            <w:pPr>
              <w:jc w:val="center"/>
              <w:rPr>
                <w:b/>
              </w:rPr>
            </w:pPr>
            <w:r>
              <w:rPr>
                <w:b/>
              </w:rPr>
              <w:t>Secțiunea a 4-a</w:t>
            </w:r>
          </w:p>
          <w:p w:rsidR="009E04BC" w:rsidRPr="00863736" w:rsidRDefault="00ED78E8" w:rsidP="002B53D7">
            <w:pPr>
              <w:jc w:val="center"/>
              <w:rPr>
                <w:b/>
              </w:rPr>
            </w:pPr>
            <w:r>
              <w:rPr>
                <w:b/>
              </w:rPr>
              <w:t>Impactul financiar asupra bugetului general consolidat,</w:t>
            </w:r>
          </w:p>
          <w:p w:rsidR="006E4A51" w:rsidRPr="00863736" w:rsidRDefault="00ED78E8" w:rsidP="002B53D7">
            <w:pPr>
              <w:jc w:val="center"/>
              <w:rPr>
                <w:b/>
              </w:rPr>
            </w:pPr>
            <w:r>
              <w:rPr>
                <w:b/>
              </w:rPr>
              <w:t>atât pe termen scurt, pentru anul curent, cât şi pe termen lung (pe 5 ani)</w:t>
            </w:r>
          </w:p>
          <w:p w:rsidR="0098030F" w:rsidRPr="00863736" w:rsidRDefault="0098030F" w:rsidP="002B53D7">
            <w:pPr>
              <w:jc w:val="center"/>
              <w:rPr>
                <w:b/>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right"/>
            </w:pPr>
            <w:r>
              <w:rPr>
                <w:i/>
              </w:rPr>
              <w:t xml:space="preserve">- </w:t>
            </w:r>
            <w:r>
              <w:rPr>
                <w:b/>
                <w:i/>
              </w:rPr>
              <w:t>mil</w:t>
            </w:r>
            <w:r>
              <w:rPr>
                <w:b/>
              </w:rPr>
              <w:t xml:space="preserve"> </w:t>
            </w:r>
            <w:r>
              <w:rPr>
                <w:b/>
                <w:i/>
              </w:rPr>
              <w:t>lei</w:t>
            </w:r>
            <w:r>
              <w:t xml:space="preserve"> -</w:t>
            </w:r>
          </w:p>
        </w:tc>
      </w:tr>
      <w:tr w:rsidR="000E2275" w:rsidRPr="00863736" w:rsidTr="002F4F04">
        <w:tc>
          <w:tcPr>
            <w:tcW w:w="4784"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Indicatori</w:t>
            </w:r>
          </w:p>
        </w:tc>
        <w:tc>
          <w:tcPr>
            <w:tcW w:w="900"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Anul curent</w:t>
            </w:r>
          </w:p>
        </w:tc>
        <w:tc>
          <w:tcPr>
            <w:tcW w:w="3814" w:type="dxa"/>
            <w:gridSpan w:val="4"/>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Următorii 4 ani</w:t>
            </w:r>
          </w:p>
        </w:tc>
        <w:tc>
          <w:tcPr>
            <w:tcW w:w="1046"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 xml:space="preserve">Media pe 5 ani </w:t>
            </w:r>
          </w:p>
        </w:tc>
      </w:tr>
      <w:tr w:rsidR="000E2275" w:rsidRPr="00863736" w:rsidTr="00D7777B">
        <w:tc>
          <w:tcPr>
            <w:tcW w:w="4784"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1318D4" w:rsidRPr="00863736" w:rsidRDefault="00ED78E8" w:rsidP="002B53D7">
            <w:pPr>
              <w:jc w:val="center"/>
            </w:pPr>
            <w:r>
              <w:t xml:space="preserve">3 </w:t>
            </w:r>
          </w:p>
          <w:p w:rsidR="009E04BC" w:rsidRPr="00863736" w:rsidRDefault="00D972CB" w:rsidP="002B53D7">
            <w:pPr>
              <w:jc w:val="center"/>
            </w:pPr>
            <w:r>
              <w:t>2021</w:t>
            </w:r>
            <w:r w:rsidR="00ED78E8">
              <w:t xml:space="preserve"> </w:t>
            </w:r>
          </w:p>
        </w:tc>
        <w:tc>
          <w:tcPr>
            <w:tcW w:w="891"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4</w:t>
            </w:r>
          </w:p>
          <w:p w:rsidR="001318D4" w:rsidRPr="00863736" w:rsidRDefault="00ED78E8" w:rsidP="002B53D7">
            <w:pPr>
              <w:jc w:val="center"/>
            </w:pPr>
            <w:r>
              <w:t>202</w:t>
            </w:r>
            <w:r w:rsidR="00D972CB">
              <w:t>2</w:t>
            </w:r>
          </w:p>
        </w:tc>
        <w:tc>
          <w:tcPr>
            <w:tcW w:w="993"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5</w:t>
            </w:r>
          </w:p>
          <w:p w:rsidR="00310D11" w:rsidRPr="00863736" w:rsidRDefault="00ED78E8" w:rsidP="002B53D7">
            <w:pPr>
              <w:jc w:val="center"/>
            </w:pPr>
            <w:r>
              <w:t>202</w:t>
            </w:r>
            <w:r w:rsidR="00D972CB">
              <w:t>3</w:t>
            </w:r>
          </w:p>
        </w:tc>
        <w:tc>
          <w:tcPr>
            <w:tcW w:w="850"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6</w:t>
            </w:r>
          </w:p>
          <w:p w:rsidR="00310D11" w:rsidRPr="00863736" w:rsidRDefault="00ED78E8" w:rsidP="002B53D7">
            <w:pPr>
              <w:jc w:val="center"/>
            </w:pPr>
            <w:r>
              <w:t>202</w:t>
            </w:r>
            <w:r w:rsidR="00D972CB">
              <w:t>4</w:t>
            </w:r>
          </w:p>
        </w:tc>
        <w:tc>
          <w:tcPr>
            <w:tcW w:w="1046"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center"/>
            </w:pPr>
            <w:r>
              <w:t>7</w:t>
            </w:r>
          </w:p>
        </w:tc>
      </w:tr>
      <w:tr w:rsidR="000E2275" w:rsidRPr="00863736" w:rsidTr="00D7777B">
        <w:tc>
          <w:tcPr>
            <w:tcW w:w="4784" w:type="dxa"/>
            <w:tcBorders>
              <w:top w:val="single" w:sz="4" w:space="0" w:color="auto"/>
              <w:left w:val="single" w:sz="4" w:space="0" w:color="auto"/>
              <w:bottom w:val="single" w:sz="4" w:space="0" w:color="auto"/>
              <w:right w:val="single" w:sz="4" w:space="0" w:color="auto"/>
            </w:tcBorders>
          </w:tcPr>
          <w:p w:rsidR="00614499" w:rsidRPr="00863736" w:rsidRDefault="00ED78E8" w:rsidP="002B53D7">
            <w:pPr>
              <w:jc w:val="both"/>
            </w:pPr>
            <w:r>
              <w:t xml:space="preserve">1. Modificări ale </w:t>
            </w:r>
            <w:r>
              <w:rPr>
                <w:b/>
              </w:rPr>
              <w:t>veniturilor</w:t>
            </w:r>
            <w:r>
              <w:t xml:space="preserve"> bugetare, </w:t>
            </w:r>
            <w:r>
              <w:rPr>
                <w:b/>
              </w:rPr>
              <w:t>plus</w:t>
            </w:r>
            <w:r>
              <w:t>/minus:</w:t>
            </w:r>
          </w:p>
        </w:tc>
        <w:tc>
          <w:tcPr>
            <w:tcW w:w="900" w:type="dxa"/>
            <w:tcBorders>
              <w:top w:val="single" w:sz="4" w:space="0" w:color="auto"/>
              <w:left w:val="single" w:sz="4" w:space="0" w:color="auto"/>
              <w:bottom w:val="single" w:sz="4" w:space="0" w:color="auto"/>
              <w:right w:val="single" w:sz="4" w:space="0" w:color="auto"/>
            </w:tcBorders>
          </w:tcPr>
          <w:p w:rsidR="00614499" w:rsidRPr="00863736" w:rsidRDefault="00614499" w:rsidP="002B53D7">
            <w:pPr>
              <w:jc w:val="center"/>
            </w:pPr>
          </w:p>
        </w:tc>
        <w:tc>
          <w:tcPr>
            <w:tcW w:w="1080" w:type="dxa"/>
            <w:tcBorders>
              <w:top w:val="single" w:sz="4" w:space="0" w:color="auto"/>
              <w:left w:val="single" w:sz="4" w:space="0" w:color="auto"/>
              <w:bottom w:val="single" w:sz="4" w:space="0" w:color="auto"/>
              <w:right w:val="single" w:sz="4" w:space="0" w:color="auto"/>
            </w:tcBorders>
          </w:tcPr>
          <w:p w:rsidR="00614499" w:rsidRPr="00C70FA9" w:rsidRDefault="00C70FA9" w:rsidP="00C70FA9">
            <w:pPr>
              <w:pStyle w:val="ListParagraph"/>
              <w:numPr>
                <w:ilvl w:val="0"/>
                <w:numId w:val="34"/>
              </w:numPr>
              <w:rPr>
                <w:b/>
              </w:rPr>
            </w:pPr>
            <w:r>
              <w:rPr>
                <w:b/>
              </w:rPr>
              <w:t>-</w:t>
            </w:r>
          </w:p>
        </w:tc>
        <w:tc>
          <w:tcPr>
            <w:tcW w:w="891" w:type="dxa"/>
            <w:tcBorders>
              <w:top w:val="single" w:sz="4" w:space="0" w:color="auto"/>
              <w:left w:val="single" w:sz="4" w:space="0" w:color="auto"/>
              <w:bottom w:val="single" w:sz="4" w:space="0" w:color="auto"/>
              <w:right w:val="single" w:sz="4" w:space="0" w:color="auto"/>
            </w:tcBorders>
          </w:tcPr>
          <w:p w:rsidR="00614499" w:rsidRPr="00C70FA9" w:rsidRDefault="00C70FA9" w:rsidP="002B53D7">
            <w:pPr>
              <w:jc w:val="center"/>
              <w:rPr>
                <w:color w:val="C00000"/>
              </w:rPr>
            </w:pPr>
            <w:r w:rsidRPr="00C70FA9">
              <w:rPr>
                <w:color w:val="C00000"/>
              </w:rPr>
              <w:t>-</w:t>
            </w:r>
          </w:p>
        </w:tc>
        <w:tc>
          <w:tcPr>
            <w:tcW w:w="993" w:type="dxa"/>
            <w:tcBorders>
              <w:top w:val="single" w:sz="4" w:space="0" w:color="auto"/>
              <w:left w:val="single" w:sz="4" w:space="0" w:color="auto"/>
              <w:bottom w:val="single" w:sz="4" w:space="0" w:color="auto"/>
              <w:right w:val="single" w:sz="4" w:space="0" w:color="auto"/>
            </w:tcBorders>
          </w:tcPr>
          <w:p w:rsidR="00614499" w:rsidRPr="00C70FA9" w:rsidRDefault="00C70FA9" w:rsidP="002B53D7">
            <w:pPr>
              <w:jc w:val="center"/>
              <w:rPr>
                <w:color w:val="C00000"/>
              </w:rPr>
            </w:pPr>
            <w:r w:rsidRPr="00C70FA9">
              <w:rPr>
                <w:color w:val="C00000"/>
              </w:rPr>
              <w:t>-</w:t>
            </w:r>
          </w:p>
        </w:tc>
        <w:tc>
          <w:tcPr>
            <w:tcW w:w="850" w:type="dxa"/>
            <w:tcBorders>
              <w:top w:val="single" w:sz="4" w:space="0" w:color="auto"/>
              <w:left w:val="single" w:sz="4" w:space="0" w:color="auto"/>
              <w:bottom w:val="single" w:sz="4" w:space="0" w:color="auto"/>
              <w:right w:val="single" w:sz="4" w:space="0" w:color="auto"/>
            </w:tcBorders>
          </w:tcPr>
          <w:p w:rsidR="00614499" w:rsidRPr="00C70FA9" w:rsidRDefault="00C70FA9" w:rsidP="002B53D7">
            <w:pPr>
              <w:jc w:val="center"/>
              <w:rPr>
                <w:color w:val="C00000"/>
              </w:rPr>
            </w:pPr>
            <w:r w:rsidRPr="00C70FA9">
              <w:rPr>
                <w:color w:val="C00000"/>
              </w:rPr>
              <w:t>-</w:t>
            </w:r>
          </w:p>
        </w:tc>
        <w:tc>
          <w:tcPr>
            <w:tcW w:w="1046" w:type="dxa"/>
            <w:tcBorders>
              <w:top w:val="single" w:sz="4" w:space="0" w:color="auto"/>
              <w:left w:val="single" w:sz="4" w:space="0" w:color="auto"/>
              <w:bottom w:val="single" w:sz="4" w:space="0" w:color="auto"/>
              <w:right w:val="single" w:sz="4" w:space="0" w:color="auto"/>
            </w:tcBorders>
          </w:tcPr>
          <w:p w:rsidR="00614499" w:rsidRPr="00863736" w:rsidRDefault="00614499" w:rsidP="002B53D7">
            <w:pPr>
              <w:jc w:val="right"/>
            </w:pPr>
          </w:p>
        </w:tc>
      </w:tr>
      <w:tr w:rsidR="000E2275" w:rsidRPr="00863736" w:rsidTr="00D7777B">
        <w:trPr>
          <w:trHeight w:val="344"/>
        </w:trPr>
        <w:tc>
          <w:tcPr>
            <w:tcW w:w="4784" w:type="dxa"/>
            <w:tcBorders>
              <w:top w:val="single" w:sz="4" w:space="0" w:color="auto"/>
              <w:left w:val="single" w:sz="4" w:space="0" w:color="auto"/>
              <w:bottom w:val="single" w:sz="4" w:space="0" w:color="auto"/>
              <w:right w:val="single" w:sz="4" w:space="0" w:color="auto"/>
            </w:tcBorders>
          </w:tcPr>
          <w:p w:rsidR="009170D4" w:rsidRPr="00863736" w:rsidRDefault="00ED78E8" w:rsidP="002B53D7">
            <w:pPr>
              <w:jc w:val="both"/>
            </w:pPr>
            <w:r>
              <w:rPr>
                <w:bCs/>
              </w:rPr>
              <w:t xml:space="preserve">2. </w:t>
            </w:r>
            <w:r>
              <w:t xml:space="preserve">Modificări ale </w:t>
            </w:r>
            <w:r>
              <w:rPr>
                <w:b/>
              </w:rPr>
              <w:t>cheltuielilor</w:t>
            </w:r>
            <w:r>
              <w:t xml:space="preserve"> bugetare, </w:t>
            </w:r>
            <w:r>
              <w:rPr>
                <w:b/>
              </w:rPr>
              <w:t>plus</w:t>
            </w:r>
            <w:r>
              <w:t>/minus:</w:t>
            </w:r>
          </w:p>
        </w:tc>
        <w:tc>
          <w:tcPr>
            <w:tcW w:w="900" w:type="dxa"/>
            <w:tcBorders>
              <w:top w:val="single" w:sz="4" w:space="0" w:color="auto"/>
              <w:left w:val="single" w:sz="4" w:space="0" w:color="auto"/>
              <w:right w:val="single" w:sz="4" w:space="0" w:color="auto"/>
            </w:tcBorders>
          </w:tcPr>
          <w:p w:rsidR="009170D4" w:rsidRPr="00863736" w:rsidRDefault="009170D4" w:rsidP="002B53D7">
            <w:pPr>
              <w:jc w:val="center"/>
            </w:pPr>
          </w:p>
        </w:tc>
        <w:tc>
          <w:tcPr>
            <w:tcW w:w="1080" w:type="dxa"/>
            <w:tcBorders>
              <w:top w:val="single" w:sz="4" w:space="0" w:color="auto"/>
              <w:left w:val="single" w:sz="4" w:space="0" w:color="auto"/>
              <w:right w:val="single" w:sz="4" w:space="0" w:color="auto"/>
            </w:tcBorders>
            <w:vAlign w:val="center"/>
          </w:tcPr>
          <w:p w:rsidR="009170D4" w:rsidRPr="00863736" w:rsidRDefault="009170D4" w:rsidP="002B53D7">
            <w:pPr>
              <w:jc w:val="center"/>
              <w:rPr>
                <w:b/>
                <w:lang w:eastAsia="ro-RO"/>
              </w:rPr>
            </w:pPr>
          </w:p>
        </w:tc>
        <w:tc>
          <w:tcPr>
            <w:tcW w:w="891" w:type="dxa"/>
            <w:tcBorders>
              <w:top w:val="single" w:sz="4" w:space="0" w:color="auto"/>
              <w:left w:val="single" w:sz="4" w:space="0" w:color="auto"/>
              <w:right w:val="single" w:sz="4" w:space="0" w:color="auto"/>
            </w:tcBorders>
            <w:vAlign w:val="center"/>
          </w:tcPr>
          <w:p w:rsidR="009170D4" w:rsidRPr="00863736" w:rsidRDefault="009170D4" w:rsidP="002B53D7">
            <w:pPr>
              <w:jc w:val="center"/>
              <w:rPr>
                <w:lang w:eastAsia="ro-RO"/>
              </w:rPr>
            </w:pPr>
          </w:p>
        </w:tc>
        <w:tc>
          <w:tcPr>
            <w:tcW w:w="993" w:type="dxa"/>
            <w:tcBorders>
              <w:top w:val="single" w:sz="4" w:space="0" w:color="auto"/>
              <w:left w:val="single" w:sz="4" w:space="0" w:color="auto"/>
              <w:right w:val="single" w:sz="4" w:space="0" w:color="auto"/>
            </w:tcBorders>
            <w:vAlign w:val="center"/>
          </w:tcPr>
          <w:p w:rsidR="009170D4" w:rsidRPr="00863736" w:rsidRDefault="009170D4" w:rsidP="002B53D7">
            <w:pPr>
              <w:jc w:val="center"/>
              <w:rPr>
                <w:lang w:eastAsia="ro-RO"/>
              </w:rPr>
            </w:pPr>
          </w:p>
        </w:tc>
        <w:tc>
          <w:tcPr>
            <w:tcW w:w="850" w:type="dxa"/>
            <w:tcBorders>
              <w:top w:val="single" w:sz="4" w:space="0" w:color="auto"/>
              <w:left w:val="single" w:sz="4" w:space="0" w:color="auto"/>
              <w:right w:val="single" w:sz="4" w:space="0" w:color="auto"/>
            </w:tcBorders>
          </w:tcPr>
          <w:p w:rsidR="009170D4" w:rsidRPr="00863736" w:rsidRDefault="009170D4" w:rsidP="002B53D7">
            <w:pPr>
              <w:jc w:val="center"/>
            </w:pPr>
          </w:p>
        </w:tc>
        <w:tc>
          <w:tcPr>
            <w:tcW w:w="1046" w:type="dxa"/>
            <w:tcBorders>
              <w:top w:val="single" w:sz="4" w:space="0" w:color="auto"/>
              <w:left w:val="single" w:sz="4" w:space="0" w:color="auto"/>
              <w:bottom w:val="single" w:sz="4" w:space="0" w:color="auto"/>
              <w:right w:val="single" w:sz="4" w:space="0" w:color="auto"/>
            </w:tcBorders>
          </w:tcPr>
          <w:p w:rsidR="009170D4" w:rsidRPr="00863736" w:rsidRDefault="009170D4" w:rsidP="002B53D7">
            <w:pPr>
              <w:jc w:val="right"/>
            </w:pPr>
          </w:p>
        </w:tc>
      </w:tr>
      <w:tr w:rsidR="000E2275" w:rsidRPr="00863736" w:rsidTr="00D7777B">
        <w:trPr>
          <w:trHeight w:val="452"/>
        </w:trPr>
        <w:tc>
          <w:tcPr>
            <w:tcW w:w="4784" w:type="dxa"/>
            <w:tcBorders>
              <w:top w:val="single" w:sz="4" w:space="0" w:color="auto"/>
              <w:left w:val="single" w:sz="4" w:space="0" w:color="auto"/>
              <w:bottom w:val="single" w:sz="4" w:space="0" w:color="auto"/>
              <w:right w:val="single" w:sz="4" w:space="0" w:color="auto"/>
            </w:tcBorders>
          </w:tcPr>
          <w:p w:rsidR="00A924F1" w:rsidRPr="00863736" w:rsidRDefault="00ED78E8" w:rsidP="002B53D7">
            <w:pPr>
              <w:jc w:val="both"/>
            </w:pPr>
            <w:r>
              <w:rPr>
                <w:bCs/>
              </w:rPr>
              <w:t xml:space="preserve">3. </w:t>
            </w:r>
            <w:r>
              <w:rPr>
                <w:b/>
              </w:rPr>
              <w:t>Impact financiar</w:t>
            </w:r>
            <w:r>
              <w:t xml:space="preserve">, plus/minus, din care: </w:t>
            </w:r>
          </w:p>
        </w:tc>
        <w:tc>
          <w:tcPr>
            <w:tcW w:w="900" w:type="dxa"/>
            <w:tcBorders>
              <w:top w:val="single" w:sz="4" w:space="0" w:color="auto"/>
              <w:left w:val="single" w:sz="4" w:space="0" w:color="auto"/>
              <w:bottom w:val="single" w:sz="4" w:space="0" w:color="auto"/>
              <w:right w:val="single" w:sz="4" w:space="0" w:color="auto"/>
            </w:tcBorders>
            <w:vAlign w:val="center"/>
          </w:tcPr>
          <w:p w:rsidR="00FF7781" w:rsidRPr="00863736" w:rsidRDefault="00FF7781" w:rsidP="002B53D7">
            <w:pPr>
              <w:jc w:val="center"/>
              <w:rPr>
                <w:lang w:eastAsia="ro-RO"/>
              </w:rPr>
            </w:pPr>
          </w:p>
        </w:tc>
        <w:tc>
          <w:tcPr>
            <w:tcW w:w="1080" w:type="dxa"/>
            <w:tcBorders>
              <w:top w:val="single" w:sz="4" w:space="0" w:color="auto"/>
              <w:left w:val="single" w:sz="4" w:space="0" w:color="auto"/>
              <w:bottom w:val="single" w:sz="4" w:space="0" w:color="auto"/>
              <w:right w:val="single" w:sz="4" w:space="0" w:color="auto"/>
            </w:tcBorders>
            <w:vAlign w:val="center"/>
          </w:tcPr>
          <w:p w:rsidR="00A924F1" w:rsidRPr="00863736" w:rsidRDefault="00A924F1" w:rsidP="002B53D7">
            <w:pPr>
              <w:jc w:val="center"/>
              <w:rPr>
                <w:b/>
                <w:lang w:eastAsia="ro-RO"/>
              </w:rPr>
            </w:pPr>
          </w:p>
        </w:tc>
        <w:tc>
          <w:tcPr>
            <w:tcW w:w="891" w:type="dxa"/>
            <w:tcBorders>
              <w:top w:val="single" w:sz="4" w:space="0" w:color="auto"/>
              <w:left w:val="single" w:sz="4" w:space="0" w:color="auto"/>
              <w:bottom w:val="single" w:sz="4" w:space="0" w:color="auto"/>
              <w:right w:val="single" w:sz="4" w:space="0" w:color="auto"/>
            </w:tcBorders>
            <w:vAlign w:val="center"/>
          </w:tcPr>
          <w:p w:rsidR="00B8333E" w:rsidRPr="00863736" w:rsidRDefault="00B8333E" w:rsidP="002B53D7">
            <w:pPr>
              <w:jc w:val="center"/>
              <w:rPr>
                <w:lang w:eastAsia="ro-RO"/>
              </w:rPr>
            </w:pPr>
          </w:p>
        </w:tc>
        <w:tc>
          <w:tcPr>
            <w:tcW w:w="993" w:type="dxa"/>
            <w:tcBorders>
              <w:top w:val="single" w:sz="4" w:space="0" w:color="auto"/>
              <w:left w:val="single" w:sz="4" w:space="0" w:color="auto"/>
              <w:bottom w:val="single" w:sz="4" w:space="0" w:color="auto"/>
              <w:right w:val="single" w:sz="4" w:space="0" w:color="auto"/>
            </w:tcBorders>
            <w:vAlign w:val="center"/>
          </w:tcPr>
          <w:p w:rsidR="00B8333E" w:rsidRPr="00863736" w:rsidRDefault="00B8333E" w:rsidP="002B53D7">
            <w:pPr>
              <w:jc w:val="center"/>
              <w:rPr>
                <w:lang w:eastAsia="ro-RO"/>
              </w:rPr>
            </w:pPr>
          </w:p>
        </w:tc>
        <w:tc>
          <w:tcPr>
            <w:tcW w:w="850" w:type="dxa"/>
            <w:tcBorders>
              <w:top w:val="single" w:sz="4" w:space="0" w:color="auto"/>
              <w:left w:val="single" w:sz="4" w:space="0" w:color="auto"/>
              <w:bottom w:val="single" w:sz="4" w:space="0" w:color="auto"/>
              <w:right w:val="single" w:sz="4" w:space="0" w:color="auto"/>
            </w:tcBorders>
          </w:tcPr>
          <w:p w:rsidR="00B8333E" w:rsidRPr="00863736" w:rsidRDefault="00B8333E" w:rsidP="002B53D7">
            <w:pPr>
              <w:jc w:val="right"/>
            </w:pPr>
          </w:p>
        </w:tc>
        <w:tc>
          <w:tcPr>
            <w:tcW w:w="1046" w:type="dxa"/>
            <w:tcBorders>
              <w:top w:val="single" w:sz="4" w:space="0" w:color="auto"/>
              <w:left w:val="single" w:sz="4" w:space="0" w:color="auto"/>
              <w:bottom w:val="single" w:sz="4" w:space="0" w:color="auto"/>
              <w:right w:val="single" w:sz="4" w:space="0" w:color="auto"/>
            </w:tcBorders>
          </w:tcPr>
          <w:p w:rsidR="00B8333E" w:rsidRPr="00863736" w:rsidRDefault="00B8333E" w:rsidP="002B53D7">
            <w:pPr>
              <w:jc w:val="right"/>
            </w:pPr>
          </w:p>
        </w:tc>
      </w:tr>
      <w:tr w:rsidR="000E2275" w:rsidRPr="00863736" w:rsidTr="00D7777B">
        <w:tc>
          <w:tcPr>
            <w:tcW w:w="4784" w:type="dxa"/>
            <w:tcBorders>
              <w:top w:val="single" w:sz="4" w:space="0" w:color="auto"/>
              <w:left w:val="single" w:sz="4" w:space="0" w:color="auto"/>
              <w:bottom w:val="single" w:sz="4" w:space="0" w:color="auto"/>
              <w:right w:val="single" w:sz="4" w:space="0" w:color="auto"/>
            </w:tcBorders>
          </w:tcPr>
          <w:p w:rsidR="00DD7EEC" w:rsidRPr="00863736" w:rsidRDefault="00ED78E8" w:rsidP="002B53D7">
            <w:r>
              <w:rPr>
                <w:bCs/>
              </w:rPr>
              <w:t>4.</w:t>
            </w:r>
            <w:r>
              <w:t xml:space="preserve"> Propuneri pentru acoperirea creşterii cheltuielilor bugetare</w:t>
            </w:r>
          </w:p>
        </w:tc>
        <w:tc>
          <w:tcPr>
            <w:tcW w:w="90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108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891" w:type="dxa"/>
            <w:tcBorders>
              <w:top w:val="single" w:sz="4" w:space="0" w:color="auto"/>
              <w:left w:val="single" w:sz="4" w:space="0" w:color="auto"/>
              <w:bottom w:val="single" w:sz="4" w:space="0" w:color="auto"/>
              <w:right w:val="single" w:sz="4" w:space="0" w:color="auto"/>
            </w:tcBorders>
          </w:tcPr>
          <w:p w:rsidR="009E04BC" w:rsidRPr="00863736" w:rsidRDefault="00ED78E8" w:rsidP="002B53D7">
            <w:r>
              <w:t xml:space="preserve"> </w:t>
            </w:r>
          </w:p>
        </w:tc>
        <w:tc>
          <w:tcPr>
            <w:tcW w:w="993"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85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1046"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r>
      <w:tr w:rsidR="000E2275" w:rsidRPr="00863736" w:rsidTr="00D7777B">
        <w:tc>
          <w:tcPr>
            <w:tcW w:w="4784" w:type="dxa"/>
            <w:tcBorders>
              <w:top w:val="single" w:sz="4" w:space="0" w:color="auto"/>
              <w:left w:val="single" w:sz="4" w:space="0" w:color="auto"/>
              <w:bottom w:val="single" w:sz="4" w:space="0" w:color="auto"/>
              <w:right w:val="single" w:sz="4" w:space="0" w:color="auto"/>
            </w:tcBorders>
          </w:tcPr>
          <w:p w:rsidR="009E04BC" w:rsidRPr="00863736" w:rsidRDefault="00ED78E8" w:rsidP="002B53D7">
            <w:pPr>
              <w:jc w:val="both"/>
            </w:pPr>
            <w:r>
              <w:t>5. Propuneri pentru a compensa reducerea veniturilor bugetare</w:t>
            </w:r>
          </w:p>
          <w:p w:rsidR="00DD7EEC" w:rsidRPr="00863736" w:rsidRDefault="00DD7EEC" w:rsidP="002B53D7">
            <w:pPr>
              <w:jc w:val="both"/>
            </w:pPr>
          </w:p>
        </w:tc>
        <w:tc>
          <w:tcPr>
            <w:tcW w:w="90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108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891"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993"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850"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c>
          <w:tcPr>
            <w:tcW w:w="1046" w:type="dxa"/>
            <w:tcBorders>
              <w:top w:val="single" w:sz="4" w:space="0" w:color="auto"/>
              <w:left w:val="single" w:sz="4" w:space="0" w:color="auto"/>
              <w:bottom w:val="single" w:sz="4" w:space="0" w:color="auto"/>
              <w:right w:val="single" w:sz="4" w:space="0" w:color="auto"/>
            </w:tcBorders>
          </w:tcPr>
          <w:p w:rsidR="009E04BC" w:rsidRPr="00863736" w:rsidRDefault="009E04BC" w:rsidP="002B53D7"/>
        </w:tc>
      </w:tr>
      <w:tr w:rsidR="000E2275" w:rsidRPr="00863736" w:rsidTr="002F4F04">
        <w:trPr>
          <w:trHeight w:val="1015"/>
        </w:trPr>
        <w:tc>
          <w:tcPr>
            <w:tcW w:w="4784" w:type="dxa"/>
            <w:tcBorders>
              <w:top w:val="single" w:sz="4" w:space="0" w:color="auto"/>
              <w:left w:val="single" w:sz="4" w:space="0" w:color="auto"/>
              <w:bottom w:val="single" w:sz="4" w:space="0" w:color="auto"/>
              <w:right w:val="single" w:sz="4" w:space="0" w:color="auto"/>
            </w:tcBorders>
          </w:tcPr>
          <w:p w:rsidR="00870D03" w:rsidRPr="00863736" w:rsidRDefault="00ED78E8" w:rsidP="002B53D7">
            <w:r>
              <w:t>6. Calcule detaliate privind fundamentarea modificărilor veniturilor şi/sau cheltuielilor bugetare</w:t>
            </w:r>
          </w:p>
        </w:tc>
        <w:tc>
          <w:tcPr>
            <w:tcW w:w="5760" w:type="dxa"/>
            <w:gridSpan w:val="6"/>
            <w:tcBorders>
              <w:top w:val="single" w:sz="4" w:space="0" w:color="auto"/>
              <w:left w:val="single" w:sz="4" w:space="0" w:color="auto"/>
              <w:bottom w:val="single" w:sz="4" w:space="0" w:color="auto"/>
              <w:right w:val="single" w:sz="4" w:space="0" w:color="auto"/>
            </w:tcBorders>
          </w:tcPr>
          <w:p w:rsidR="002344E0" w:rsidRPr="00863736" w:rsidRDefault="00ED78E8" w:rsidP="00F0286E">
            <w:pPr>
              <w:jc w:val="both"/>
            </w:pPr>
            <w:r>
              <w:t xml:space="preserve">Impactul macroeconomic a fost inclus în valoarea şi dinamica indicatorilor macroeconomici şi sociali din </w:t>
            </w:r>
            <w:r w:rsidR="00CD7B64" w:rsidRPr="00CD7B64">
              <w:t xml:space="preserve">Prognoza pe termen </w:t>
            </w:r>
            <w:r w:rsidR="00D972CB">
              <w:t>mediu 2020–2023 –varianta de toamna 2020</w:t>
            </w:r>
            <w:r w:rsidR="00CD7B64" w:rsidRPr="00CD7B64">
              <w:t xml:space="preserve"> publicată de Comisia de Strategie și Prognoză</w:t>
            </w:r>
            <w:r w:rsidRPr="00CD7B64">
              <w:t>,</w:t>
            </w:r>
            <w:r>
              <w:t xml:space="preserve"> indicatori care stau la baza proiecțiilor veniturilor bugetare pentru </w:t>
            </w:r>
            <w:r w:rsidR="00D972CB">
              <w:rPr>
                <w:b/>
              </w:rPr>
              <w:t>anul 2021</w:t>
            </w:r>
            <w:r>
              <w:rPr>
                <w:b/>
              </w:rPr>
              <w:t>.</w:t>
            </w:r>
          </w:p>
        </w:tc>
      </w:tr>
      <w:tr w:rsidR="000E2275" w:rsidRPr="00863736" w:rsidTr="002F4F04">
        <w:tc>
          <w:tcPr>
            <w:tcW w:w="4784" w:type="dxa"/>
            <w:tcBorders>
              <w:top w:val="single" w:sz="4" w:space="0" w:color="auto"/>
              <w:left w:val="single" w:sz="4" w:space="0" w:color="auto"/>
              <w:bottom w:val="single" w:sz="4" w:space="0" w:color="auto"/>
              <w:right w:val="single" w:sz="4" w:space="0" w:color="auto"/>
            </w:tcBorders>
          </w:tcPr>
          <w:p w:rsidR="00095E8E" w:rsidRPr="00863736" w:rsidRDefault="00ED78E8" w:rsidP="002B53D7">
            <w:pPr>
              <w:rPr>
                <w:b/>
              </w:rPr>
            </w:pPr>
            <w:r>
              <w:rPr>
                <w:b/>
              </w:rPr>
              <w:t>7. Alte informaţii</w:t>
            </w:r>
          </w:p>
          <w:p w:rsidR="00DD7EEC" w:rsidRPr="00863736" w:rsidRDefault="00DD7EEC" w:rsidP="002B53D7">
            <w:pPr>
              <w:rPr>
                <w:b/>
              </w:rPr>
            </w:pP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8E5DF0" w:rsidRPr="00863736" w:rsidRDefault="008E5DF0" w:rsidP="002B53D7">
            <w:pPr>
              <w:jc w:val="both"/>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center"/>
              <w:rPr>
                <w:b/>
              </w:rPr>
            </w:pPr>
            <w:r>
              <w:rPr>
                <w:b/>
              </w:rPr>
              <w:t>Secţiunea a 5-a</w:t>
            </w:r>
          </w:p>
          <w:p w:rsidR="0098030F" w:rsidRPr="00863736" w:rsidRDefault="00ED78E8" w:rsidP="00863736">
            <w:pPr>
              <w:jc w:val="center"/>
              <w:rPr>
                <w:b/>
              </w:rPr>
            </w:pPr>
            <w:r>
              <w:rPr>
                <w:b/>
              </w:rPr>
              <w:t>Efectele prezentului act normativ asupra legislaţiei în vigoare</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613945" w:rsidP="002B53D7">
            <w:pPr>
              <w:pStyle w:val="HTMLPreformatted"/>
              <w:jc w:val="both"/>
              <w:rPr>
                <w:rFonts w:ascii="Times New Roman" w:hAnsi="Times New Roman"/>
                <w:b/>
                <w:sz w:val="24"/>
                <w:szCs w:val="24"/>
                <w:lang w:val="ro-RO"/>
              </w:rPr>
            </w:pPr>
            <w:r w:rsidRPr="00863736">
              <w:rPr>
                <w:rFonts w:ascii="Times New Roman" w:hAnsi="Times New Roman"/>
                <w:b/>
                <w:sz w:val="24"/>
                <w:szCs w:val="24"/>
                <w:lang w:val="ro-RO"/>
              </w:rPr>
              <w:t xml:space="preserve">1. </w:t>
            </w:r>
            <w:r w:rsidR="008D0CEC" w:rsidRPr="00863736">
              <w:rPr>
                <w:rFonts w:ascii="Times New Roman" w:hAnsi="Times New Roman"/>
                <w:b/>
                <w:sz w:val="24"/>
                <w:szCs w:val="24"/>
                <w:lang w:val="ro-RO"/>
              </w:rPr>
              <w:t xml:space="preserve">  </w:t>
            </w:r>
            <w:r w:rsidRPr="00863736">
              <w:rPr>
                <w:rFonts w:ascii="Times New Roman" w:hAnsi="Times New Roman"/>
                <w:b/>
                <w:sz w:val="24"/>
                <w:szCs w:val="24"/>
                <w:lang w:val="ro-RO"/>
              </w:rPr>
              <w:t xml:space="preserve">Măsuri normative necesare pentru aplicarea prevederilor </w:t>
            </w:r>
            <w:r w:rsidR="00FE6E31" w:rsidRPr="00863736">
              <w:rPr>
                <w:rFonts w:ascii="Times New Roman" w:hAnsi="Times New Roman"/>
                <w:b/>
                <w:sz w:val="24"/>
                <w:szCs w:val="24"/>
                <w:lang w:val="ro-RO"/>
              </w:rPr>
              <w:t>prezentului</w:t>
            </w:r>
            <w:r w:rsidR="00ED5AB7" w:rsidRPr="00863736">
              <w:rPr>
                <w:rFonts w:ascii="Times New Roman" w:hAnsi="Times New Roman"/>
                <w:b/>
                <w:sz w:val="24"/>
                <w:szCs w:val="24"/>
                <w:lang w:val="ro-RO"/>
              </w:rPr>
              <w:t xml:space="preserve"> act normativ:  </w:t>
            </w:r>
          </w:p>
          <w:p w:rsidR="00613945" w:rsidRPr="00863736" w:rsidRDefault="00613945" w:rsidP="002B53D7">
            <w:pPr>
              <w:pStyle w:val="HTMLPreformatted"/>
              <w:jc w:val="both"/>
              <w:rPr>
                <w:rFonts w:ascii="Times New Roman" w:hAnsi="Times New Roman"/>
                <w:b/>
                <w:sz w:val="24"/>
                <w:szCs w:val="24"/>
                <w:lang w:val="ro-RO"/>
              </w:rPr>
            </w:pPr>
            <w:r w:rsidRPr="00863736">
              <w:rPr>
                <w:rFonts w:ascii="Times New Roman" w:hAnsi="Times New Roman"/>
                <w:b/>
                <w:sz w:val="24"/>
                <w:szCs w:val="24"/>
                <w:lang w:val="ro-RO"/>
              </w:rPr>
              <w:t xml:space="preserve">a) acte normative în vigoare ce vor fi modificate sau abrogate, ca urmare a intrării în vigoare a proiectului de act normativ; </w:t>
            </w:r>
          </w:p>
          <w:p w:rsidR="00C936D0" w:rsidRPr="00863736" w:rsidRDefault="006E0783" w:rsidP="008B62AB">
            <w:pPr>
              <w:pStyle w:val="HTMLPreformatted"/>
              <w:jc w:val="both"/>
              <w:rPr>
                <w:rFonts w:ascii="Times New Roman" w:hAnsi="Times New Roman"/>
                <w:sz w:val="24"/>
                <w:szCs w:val="24"/>
                <w:lang w:val="ro-RO"/>
              </w:rPr>
            </w:pPr>
            <w:r w:rsidRPr="00863736">
              <w:rPr>
                <w:rFonts w:ascii="Times New Roman" w:hAnsi="Times New Roman"/>
                <w:sz w:val="24"/>
                <w:szCs w:val="24"/>
                <w:lang w:val="ro-RO"/>
              </w:rPr>
              <w:t xml:space="preserve">Prin </w:t>
            </w:r>
            <w:r w:rsidR="00603F0B" w:rsidRPr="00863736">
              <w:rPr>
                <w:rFonts w:ascii="Times New Roman" w:hAnsi="Times New Roman"/>
                <w:sz w:val="24"/>
                <w:szCs w:val="24"/>
                <w:lang w:val="ro-RO"/>
              </w:rPr>
              <w:t xml:space="preserve">prezentul </w:t>
            </w:r>
            <w:r w:rsidR="00FE6E31" w:rsidRPr="00863736">
              <w:rPr>
                <w:rFonts w:ascii="Times New Roman" w:hAnsi="Times New Roman"/>
                <w:sz w:val="24"/>
                <w:szCs w:val="24"/>
                <w:lang w:val="ro-RO"/>
              </w:rPr>
              <w:t>act normativ</w:t>
            </w:r>
            <w:r w:rsidR="0078318D" w:rsidRPr="00863736">
              <w:rPr>
                <w:rFonts w:ascii="Times New Roman" w:hAnsi="Times New Roman"/>
                <w:sz w:val="24"/>
                <w:szCs w:val="24"/>
                <w:lang w:val="ro-RO"/>
              </w:rPr>
              <w:t xml:space="preserve"> </w:t>
            </w:r>
            <w:r w:rsidRPr="00863736">
              <w:rPr>
                <w:rFonts w:ascii="Times New Roman" w:hAnsi="Times New Roman"/>
                <w:sz w:val="24"/>
                <w:szCs w:val="24"/>
                <w:lang w:val="ro-RO"/>
              </w:rPr>
              <w:t>se</w:t>
            </w:r>
            <w:r w:rsidR="00A33F4A" w:rsidRPr="00863736">
              <w:rPr>
                <w:rFonts w:ascii="Times New Roman" w:hAnsi="Times New Roman"/>
                <w:sz w:val="24"/>
                <w:szCs w:val="24"/>
                <w:lang w:val="ro-RO"/>
              </w:rPr>
              <w:t xml:space="preserve"> </w:t>
            </w:r>
            <w:r w:rsidRPr="00863736">
              <w:rPr>
                <w:rFonts w:ascii="Times New Roman" w:hAnsi="Times New Roman"/>
                <w:sz w:val="24"/>
                <w:szCs w:val="24"/>
                <w:lang w:val="ro-RO"/>
              </w:rPr>
              <w:t>ab</w:t>
            </w:r>
            <w:r w:rsidR="004B791D" w:rsidRPr="00863736">
              <w:rPr>
                <w:rFonts w:ascii="Times New Roman" w:hAnsi="Times New Roman"/>
                <w:sz w:val="24"/>
                <w:szCs w:val="24"/>
                <w:lang w:val="ro-RO"/>
              </w:rPr>
              <w:t>r</w:t>
            </w:r>
            <w:r w:rsidRPr="00863736">
              <w:rPr>
                <w:rFonts w:ascii="Times New Roman" w:hAnsi="Times New Roman"/>
                <w:sz w:val="24"/>
                <w:szCs w:val="24"/>
                <w:lang w:val="ro-RO"/>
              </w:rPr>
              <w:t>og</w:t>
            </w:r>
            <w:r w:rsidR="004B122D" w:rsidRPr="00863736">
              <w:rPr>
                <w:rFonts w:ascii="Times New Roman" w:hAnsi="Times New Roman"/>
                <w:sz w:val="24"/>
                <w:szCs w:val="24"/>
                <w:lang w:val="ro-RO"/>
              </w:rPr>
              <w:t>ă</w:t>
            </w:r>
            <w:r w:rsidR="00C936D0" w:rsidRPr="00863736">
              <w:rPr>
                <w:rFonts w:ascii="Times New Roman" w:hAnsi="Times New Roman"/>
                <w:sz w:val="24"/>
                <w:szCs w:val="24"/>
                <w:lang w:val="ro-RO"/>
              </w:rPr>
              <w:t xml:space="preserve"> Hotărârea Guvernului nr. </w:t>
            </w:r>
            <w:r w:rsidR="00D972CB">
              <w:rPr>
                <w:rFonts w:ascii="Times New Roman" w:hAnsi="Times New Roman"/>
                <w:sz w:val="24"/>
                <w:szCs w:val="24"/>
                <w:lang w:val="ro-RO"/>
              </w:rPr>
              <w:t>935/</w:t>
            </w:r>
            <w:r w:rsidR="008B62AB" w:rsidRPr="00863736">
              <w:rPr>
                <w:rFonts w:ascii="Times New Roman" w:hAnsi="Times New Roman"/>
                <w:sz w:val="24"/>
                <w:szCs w:val="24"/>
                <w:lang w:val="ro-RO"/>
              </w:rPr>
              <w:t>201</w:t>
            </w:r>
            <w:r w:rsidR="00D972CB">
              <w:rPr>
                <w:rFonts w:ascii="Times New Roman" w:hAnsi="Times New Roman"/>
                <w:sz w:val="24"/>
                <w:szCs w:val="24"/>
                <w:lang w:val="ro-RO"/>
              </w:rPr>
              <w:t>9</w:t>
            </w:r>
            <w:r w:rsidR="008B62AB" w:rsidRPr="00863736">
              <w:rPr>
                <w:rFonts w:ascii="Times New Roman" w:hAnsi="Times New Roman"/>
                <w:sz w:val="24"/>
                <w:szCs w:val="24"/>
                <w:lang w:val="ro-RO"/>
              </w:rPr>
              <w:t xml:space="preserve"> pentru stabilirea salariului de bază minim brut pe țară garantat în plată</w:t>
            </w:r>
            <w:r w:rsidRPr="00863736">
              <w:rPr>
                <w:rFonts w:ascii="Times New Roman" w:hAnsi="Times New Roman"/>
                <w:sz w:val="24"/>
                <w:szCs w:val="24"/>
                <w:lang w:val="ro-RO"/>
              </w:rPr>
              <w:t>.</w:t>
            </w:r>
          </w:p>
          <w:p w:rsidR="00957EB2" w:rsidRPr="00863736" w:rsidRDefault="00957EB2" w:rsidP="002B53D7">
            <w:pPr>
              <w:pStyle w:val="HTMLPreformatted"/>
              <w:rPr>
                <w:rFonts w:ascii="Times New Roman" w:hAnsi="Times New Roman"/>
                <w:b/>
                <w:iCs/>
                <w:sz w:val="24"/>
                <w:szCs w:val="24"/>
                <w:lang w:val="ro-RO"/>
              </w:rPr>
            </w:pPr>
            <w:r w:rsidRPr="00863736">
              <w:rPr>
                <w:rFonts w:ascii="Times New Roman" w:hAnsi="Times New Roman"/>
                <w:b/>
                <w:iCs/>
                <w:sz w:val="24"/>
                <w:szCs w:val="24"/>
                <w:lang w:val="ro-RO"/>
              </w:rPr>
              <w:t xml:space="preserve">b) acte normative ce urmează a fi elaborate în vederea implementării noilor dispoziţii. </w:t>
            </w:r>
          </w:p>
          <w:p w:rsidR="00250ACA" w:rsidRPr="00863736" w:rsidRDefault="00250ACA" w:rsidP="002B53D7">
            <w:pPr>
              <w:pStyle w:val="NoSpacing"/>
              <w:jc w:val="both"/>
              <w:rPr>
                <w:b/>
                <w:sz w:val="24"/>
                <w:szCs w:val="24"/>
                <w:lang w:val="ro-RO"/>
              </w:rPr>
            </w:pPr>
            <w:r w:rsidRPr="00863736">
              <w:rPr>
                <w:b/>
                <w:sz w:val="24"/>
                <w:szCs w:val="24"/>
                <w:lang w:val="ro-RO"/>
              </w:rPr>
              <w:t>1</w:t>
            </w:r>
            <w:r w:rsidRPr="00863736">
              <w:rPr>
                <w:b/>
                <w:sz w:val="24"/>
                <w:szCs w:val="24"/>
                <w:vertAlign w:val="superscript"/>
                <w:lang w:val="ro-RO"/>
              </w:rPr>
              <w:t>1.</w:t>
            </w:r>
            <w:r w:rsidR="008D0CEC" w:rsidRPr="00863736">
              <w:rPr>
                <w:b/>
                <w:sz w:val="24"/>
                <w:szCs w:val="24"/>
                <w:vertAlign w:val="superscript"/>
                <w:lang w:val="ro-RO"/>
              </w:rPr>
              <w:t xml:space="preserve">  </w:t>
            </w:r>
            <w:r w:rsidRPr="00863736">
              <w:rPr>
                <w:b/>
                <w:sz w:val="24"/>
                <w:szCs w:val="24"/>
                <w:lang w:val="ro-RO"/>
              </w:rPr>
              <w:t xml:space="preserve">Compatibilitatea </w:t>
            </w:r>
            <w:r w:rsidR="00FE6E31" w:rsidRPr="00863736">
              <w:rPr>
                <w:b/>
                <w:sz w:val="24"/>
                <w:szCs w:val="24"/>
                <w:lang w:val="ro-RO"/>
              </w:rPr>
              <w:t>prezentului</w:t>
            </w:r>
            <w:r w:rsidRPr="00863736">
              <w:rPr>
                <w:b/>
                <w:sz w:val="24"/>
                <w:szCs w:val="24"/>
                <w:lang w:val="ro-RO"/>
              </w:rPr>
              <w:t xml:space="preserve"> act normativ cu legislația în domeniul achizițiilor publice.</w:t>
            </w:r>
          </w:p>
          <w:p w:rsidR="00250ACA" w:rsidRPr="00863736" w:rsidRDefault="00250ACA" w:rsidP="002B53D7">
            <w:pPr>
              <w:pStyle w:val="NoSpacing"/>
              <w:jc w:val="both"/>
              <w:rPr>
                <w:b/>
                <w:sz w:val="24"/>
                <w:szCs w:val="24"/>
                <w:lang w:val="ro-RO"/>
              </w:rPr>
            </w:pPr>
            <w:r w:rsidRPr="00863736">
              <w:rPr>
                <w:sz w:val="24"/>
                <w:szCs w:val="24"/>
                <w:lang w:val="ro-RO"/>
              </w:rPr>
              <w:t xml:space="preserve">    </w:t>
            </w:r>
            <w:r w:rsidR="008D0CEC" w:rsidRPr="00863736">
              <w:rPr>
                <w:sz w:val="24"/>
                <w:szCs w:val="24"/>
                <w:lang w:val="ro-RO"/>
              </w:rPr>
              <w:t xml:space="preserve">  </w:t>
            </w:r>
            <w:r w:rsidRPr="00863736">
              <w:rPr>
                <w:b/>
                <w:sz w:val="24"/>
                <w:szCs w:val="24"/>
                <w:lang w:val="ro-RO"/>
              </w:rPr>
              <w:t>a) impact legislativ - prevederi de modificare şi completare a cadrului normativ în domeniul achizițiilor publice, prevederi derogatorii;</w:t>
            </w:r>
          </w:p>
          <w:p w:rsidR="00250ACA" w:rsidRPr="00863736" w:rsidRDefault="008D0CEC" w:rsidP="002B53D7">
            <w:pPr>
              <w:pStyle w:val="NoSpacing"/>
              <w:jc w:val="both"/>
              <w:rPr>
                <w:sz w:val="24"/>
                <w:szCs w:val="24"/>
                <w:lang w:val="ro-RO"/>
              </w:rPr>
            </w:pPr>
            <w:r w:rsidRPr="00863736">
              <w:rPr>
                <w:sz w:val="24"/>
                <w:szCs w:val="24"/>
                <w:lang w:val="ro-RO"/>
              </w:rPr>
              <w:t xml:space="preserve">       </w:t>
            </w:r>
            <w:r w:rsidR="00250ACA" w:rsidRPr="00863736">
              <w:rPr>
                <w:sz w:val="24"/>
                <w:szCs w:val="24"/>
                <w:lang w:val="ro-RO"/>
              </w:rPr>
              <w:t>Nu este cazul.</w:t>
            </w:r>
          </w:p>
          <w:p w:rsidR="00250ACA" w:rsidRPr="00863736" w:rsidRDefault="00250ACA" w:rsidP="002B53D7">
            <w:pPr>
              <w:pStyle w:val="NoSpacing"/>
              <w:jc w:val="both"/>
              <w:rPr>
                <w:b/>
                <w:sz w:val="24"/>
                <w:szCs w:val="24"/>
                <w:lang w:val="ro-RO"/>
              </w:rPr>
            </w:pPr>
            <w:r w:rsidRPr="00863736">
              <w:rPr>
                <w:b/>
                <w:sz w:val="24"/>
                <w:szCs w:val="24"/>
                <w:lang w:val="ro-RO"/>
              </w:rPr>
              <w:t xml:space="preserve">    </w:t>
            </w:r>
            <w:r w:rsidR="008D0CEC" w:rsidRPr="00863736">
              <w:rPr>
                <w:b/>
                <w:sz w:val="24"/>
                <w:szCs w:val="24"/>
                <w:lang w:val="ro-RO"/>
              </w:rPr>
              <w:t xml:space="preserve">  </w:t>
            </w:r>
            <w:r w:rsidRPr="00863736">
              <w:rPr>
                <w:b/>
                <w:sz w:val="24"/>
                <w:szCs w:val="24"/>
                <w:lang w:val="ro-RO"/>
              </w:rPr>
              <w:t>b) norme cu impact la nivel operaţional/tehnic - sisteme electronice utilizate în desfăşurarea procedurilor de achiziţie publică, unităţi centralizate de achiziții publice, structură organizatorică internă a autorităţilor contractante.</w:t>
            </w:r>
          </w:p>
          <w:p w:rsidR="00DD7EEC" w:rsidRPr="00863736" w:rsidRDefault="008D0CEC" w:rsidP="002B53D7">
            <w:pPr>
              <w:pStyle w:val="HTMLPreformatted"/>
              <w:rPr>
                <w:rFonts w:ascii="Times New Roman" w:hAnsi="Times New Roman"/>
                <w:sz w:val="24"/>
                <w:szCs w:val="24"/>
                <w:lang w:val="ro-RO"/>
              </w:rPr>
            </w:pPr>
            <w:r w:rsidRPr="00863736">
              <w:rPr>
                <w:rFonts w:ascii="Times New Roman" w:hAnsi="Times New Roman"/>
                <w:sz w:val="24"/>
                <w:szCs w:val="24"/>
                <w:lang w:val="ro-RO"/>
              </w:rPr>
              <w:t xml:space="preserve">       </w:t>
            </w:r>
            <w:r w:rsidR="00250ACA" w:rsidRPr="00863736">
              <w:rPr>
                <w:rFonts w:ascii="Times New Roman" w:hAnsi="Times New Roman"/>
                <w:sz w:val="24"/>
                <w:szCs w:val="24"/>
                <w:lang w:val="ro-RO"/>
              </w:rPr>
              <w:t>Nu este cazul.</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rPr>
            </w:pPr>
            <w:r>
              <w:rPr>
                <w:b/>
              </w:rPr>
              <w:t>2.  Conformitatea prezentului act normativ</w:t>
            </w:r>
            <w:r>
              <w:t xml:space="preserve"> </w:t>
            </w:r>
            <w:r>
              <w:rPr>
                <w:b/>
              </w:rPr>
              <w:t xml:space="preserve">cu legislaţia comunitară in cazul proiectelor ce transpun prevederi comunitare  </w:t>
            </w:r>
          </w:p>
          <w:p w:rsidR="00AE6F6C" w:rsidRPr="00863736" w:rsidRDefault="00ED78E8" w:rsidP="00FE6E31">
            <w:pPr>
              <w:ind w:firstLine="240"/>
              <w:jc w:val="both"/>
            </w:pPr>
            <w:r>
              <w:t xml:space="preserve">  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pPr>
            <w:r>
              <w:rPr>
                <w:b/>
              </w:rPr>
              <w:t>3.   Măsuri normative necesare aplicării directe a actelor normative comunitare</w:t>
            </w:r>
            <w:r>
              <w:t xml:space="preserve">  </w:t>
            </w:r>
          </w:p>
          <w:p w:rsidR="00AE6F6C" w:rsidRPr="00863736" w:rsidRDefault="00ED78E8" w:rsidP="002B53D7">
            <w:pPr>
              <w:ind w:firstLine="240"/>
              <w:jc w:val="both"/>
            </w:pPr>
            <w:r>
              <w:t xml:space="preserve">  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pPr>
            <w:r>
              <w:rPr>
                <w:b/>
              </w:rPr>
              <w:t>4.   Hotărâri ale Curţii de Justiţie a Uniunii  Europene</w:t>
            </w:r>
            <w:r>
              <w:t xml:space="preserve"> </w:t>
            </w:r>
          </w:p>
          <w:p w:rsidR="00613945" w:rsidRPr="00863736" w:rsidRDefault="00ED78E8" w:rsidP="002B53D7">
            <w:pPr>
              <w:ind w:firstLine="240"/>
              <w:jc w:val="both"/>
            </w:pPr>
            <w:r>
              <w:t xml:space="preserve">  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bCs/>
              </w:rPr>
            </w:pPr>
            <w:r>
              <w:rPr>
                <w:b/>
              </w:rPr>
              <w:t>5.</w:t>
            </w:r>
            <w:r>
              <w:rPr>
                <w:b/>
                <w:bCs/>
              </w:rPr>
              <w:t xml:space="preserve"> Alte acte normative şi/sau documente internaţionale din care decurg angajamente</w:t>
            </w:r>
          </w:p>
          <w:p w:rsidR="00AE6F6C" w:rsidRPr="00863736" w:rsidRDefault="00ED78E8" w:rsidP="002B53D7">
            <w:pPr>
              <w:ind w:firstLine="240"/>
              <w:jc w:val="both"/>
            </w:pPr>
            <w:r>
              <w:t xml:space="preserve"> 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DD7EEC" w:rsidRPr="00863736" w:rsidRDefault="00ED78E8" w:rsidP="002B53D7">
            <w:pPr>
              <w:jc w:val="both"/>
              <w:rPr>
                <w:b/>
              </w:rPr>
            </w:pPr>
            <w:r>
              <w:rPr>
                <w:b/>
              </w:rPr>
              <w:t>6.   Alte informaţii</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center"/>
              <w:rPr>
                <w:b/>
              </w:rPr>
            </w:pPr>
            <w:r>
              <w:rPr>
                <w:b/>
              </w:rPr>
              <w:t>Secţiunea a 6-a</w:t>
            </w:r>
          </w:p>
          <w:p w:rsidR="0022736E" w:rsidRPr="00863736" w:rsidRDefault="00ED78E8" w:rsidP="00863736">
            <w:pPr>
              <w:jc w:val="center"/>
              <w:rPr>
                <w:b/>
              </w:rPr>
            </w:pPr>
            <w:r>
              <w:rPr>
                <w:b/>
              </w:rPr>
              <w:t>Consultările efectuate în vederea elaborării prezentului act normativ</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613945" w:rsidP="002B53D7">
            <w:pPr>
              <w:numPr>
                <w:ilvl w:val="0"/>
                <w:numId w:val="31"/>
              </w:numPr>
              <w:jc w:val="both"/>
              <w:rPr>
                <w:b/>
                <w:bCs/>
              </w:rPr>
            </w:pPr>
            <w:r w:rsidRPr="00863736">
              <w:rPr>
                <w:b/>
              </w:rPr>
              <w:t>Informaţii privind procesul de consult</w:t>
            </w:r>
            <w:r w:rsidR="00BD4C60" w:rsidRPr="00863736">
              <w:rPr>
                <w:b/>
              </w:rPr>
              <w:t>are cu organizaţii</w:t>
            </w:r>
            <w:r w:rsidRPr="00863736">
              <w:rPr>
                <w:b/>
              </w:rPr>
              <w:t xml:space="preserve"> neguvernamentale, institute de cercetare şi alte organisme implicate</w:t>
            </w:r>
            <w:r w:rsidRPr="00863736">
              <w:rPr>
                <w:b/>
                <w:bCs/>
              </w:rPr>
              <w:t xml:space="preserve"> </w:t>
            </w:r>
          </w:p>
          <w:p w:rsidR="00DB186B" w:rsidRPr="00863736" w:rsidRDefault="00AA717A" w:rsidP="002B53D7">
            <w:pPr>
              <w:jc w:val="both"/>
            </w:pPr>
            <w:r w:rsidRPr="00863736">
              <w:t>Nivelul</w:t>
            </w:r>
            <w:r w:rsidR="006E0783" w:rsidRPr="00863736">
              <w:t xml:space="preserve"> salariului de bază minim brut pe ţară</w:t>
            </w:r>
            <w:r w:rsidR="00306610" w:rsidRPr="00863736">
              <w:t xml:space="preserve"> garantat în plată</w:t>
            </w:r>
            <w:r w:rsidR="006E0783" w:rsidRPr="00863736">
              <w:t xml:space="preserve"> de </w:t>
            </w:r>
            <w:r w:rsidR="00A41BA5" w:rsidRPr="00863736">
              <w:t>2.</w:t>
            </w:r>
            <w:r w:rsidR="002A0CE0">
              <w:t>300</w:t>
            </w:r>
            <w:r w:rsidR="00DD0BE1" w:rsidRPr="00863736">
              <w:t xml:space="preserve"> lei lunar </w:t>
            </w:r>
            <w:r w:rsidR="00DA454F" w:rsidRPr="00863736">
              <w:t>și 2.</w:t>
            </w:r>
            <w:r w:rsidR="002A0CE0">
              <w:t>350</w:t>
            </w:r>
            <w:r w:rsidR="00A41BA5" w:rsidRPr="00863736">
              <w:t xml:space="preserve"> lei lunar </w:t>
            </w:r>
            <w:r w:rsidR="006E0783" w:rsidRPr="00863736">
              <w:t>a fost stabilit în urma dezbaterilor cu partenerii sociali.</w:t>
            </w:r>
            <w:r w:rsidR="002D09C2" w:rsidRPr="00863736">
              <w:t xml:space="preserve">  </w:t>
            </w:r>
          </w:p>
          <w:p w:rsidR="008929C6" w:rsidRDefault="00D972CB" w:rsidP="00863736">
            <w:pPr>
              <w:jc w:val="both"/>
            </w:pPr>
            <w:r>
              <w:t>A fost organizată</w:t>
            </w:r>
            <w:r w:rsidR="008929C6">
              <w:t xml:space="preserve"> </w:t>
            </w:r>
            <w:r>
              <w:t>o ședință a</w:t>
            </w:r>
            <w:r w:rsidR="008929C6">
              <w:t xml:space="preserve"> Consiliului N</w:t>
            </w:r>
            <w:r>
              <w:t xml:space="preserve">ațional </w:t>
            </w:r>
            <w:r w:rsidR="002A0CE0">
              <w:t>Tripartit, în data de 28.12</w:t>
            </w:r>
            <w:r>
              <w:t>.2020</w:t>
            </w:r>
            <w:r w:rsidR="008929C6">
              <w:t xml:space="preserve"> la care s-au purtat discuții legate de majorarea salariului de bază minim brut pe țară garantat în plată</w:t>
            </w:r>
            <w:r w:rsidR="008059EB">
              <w:t xml:space="preserve"> în anul 2021</w:t>
            </w:r>
            <w:r w:rsidR="008929C6">
              <w:t>.</w:t>
            </w:r>
          </w:p>
          <w:p w:rsidR="00DD7EEC" w:rsidRPr="008929C6" w:rsidRDefault="008929C6" w:rsidP="00863736">
            <w:pPr>
              <w:jc w:val="both"/>
            </w:pPr>
            <w:r>
              <w:t xml:space="preserve">Proiectul de hotărâre de Guvern a fost dezbătut </w:t>
            </w:r>
            <w:r w:rsidR="00457748">
              <w:t xml:space="preserve">împreună cu partenerii sociali </w:t>
            </w:r>
            <w:r>
              <w:t>în Comisia de Dialog Social de la nivelul Ministerului Muncii și Protecției Sociale.</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bCs/>
              </w:rPr>
            </w:pPr>
            <w:r>
              <w:rPr>
                <w:b/>
              </w:rPr>
              <w:t xml:space="preserve">2. Fundamentarea alegerii organizaţiilor cu care a avut loc consultarea, precum </w:t>
            </w:r>
            <w:r>
              <w:rPr>
                <w:b/>
                <w:bCs/>
              </w:rPr>
              <w:t>şi a modului în care activitatea acestor organizaţii este legată de obiectul proiectului de act normativ</w:t>
            </w:r>
          </w:p>
          <w:p w:rsidR="00DD7EEC" w:rsidRPr="00863736" w:rsidRDefault="00ED78E8" w:rsidP="002B53D7">
            <w:pPr>
              <w:jc w:val="both"/>
            </w:pPr>
            <w:r>
              <w:t xml:space="preserve">     Actul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bCs/>
              </w:rPr>
            </w:pPr>
            <w:r>
              <w:rPr>
                <w:b/>
              </w:rPr>
              <w:t xml:space="preserve">3. Consultările organizate cu autorităţile </w:t>
            </w:r>
            <w:r>
              <w:rPr>
                <w:b/>
                <w:bCs/>
              </w:rPr>
              <w:t xml:space="preserve">administraţiei </w:t>
            </w:r>
            <w:r>
              <w:rPr>
                <w:b/>
              </w:rPr>
              <w:t xml:space="preserve">publice locale, în situaţia în care proiectul de act normativ are ca obiect activităţi ale acestor autorităţi, în condiţiile Hotărârii Guvernului nr.521/2005 </w:t>
            </w:r>
            <w:r>
              <w:rPr>
                <w:b/>
                <w:bCs/>
              </w:rPr>
              <w:t>privind procedura de consultare a structurilor asociative ale autorităţilor administraţiei publice locale la elaborarea proiectelor de acte normative.</w:t>
            </w:r>
          </w:p>
          <w:p w:rsidR="00DD7EEC" w:rsidRPr="00863736" w:rsidRDefault="00ED78E8" w:rsidP="002B53D7">
            <w:pPr>
              <w:jc w:val="both"/>
            </w:pPr>
            <w:r>
              <w:t xml:space="preserve">     Actul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rPr>
            </w:pPr>
            <w:r>
              <w:rPr>
                <w:b/>
              </w:rPr>
              <w:t>4. Consultările desfăşurate în cadrul consiliilor interministeriale, în conformitate cu prevederile Hotărârii Guvernului nr. 750/2005 privind constituirea consiliilor interministeriale permanente</w:t>
            </w:r>
          </w:p>
          <w:p w:rsidR="00613945" w:rsidRPr="00863736" w:rsidRDefault="00ED78E8" w:rsidP="002B53D7">
            <w:pPr>
              <w:jc w:val="both"/>
            </w:pPr>
            <w:r>
              <w:t xml:space="preserve">     Actul normativ nu se referă la acest subiect</w:t>
            </w:r>
            <w:r w:rsidR="008B34DD">
              <w:t>.</w:t>
            </w:r>
          </w:p>
          <w:p w:rsidR="00DD7EEC" w:rsidRPr="00863736" w:rsidRDefault="00DD7EEC" w:rsidP="002B53D7">
            <w:pPr>
              <w:jc w:val="both"/>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autoSpaceDE w:val="0"/>
              <w:autoSpaceDN w:val="0"/>
              <w:adjustRightInd w:val="0"/>
              <w:jc w:val="both"/>
              <w:rPr>
                <w:b/>
              </w:rPr>
            </w:pPr>
            <w:r>
              <w:rPr>
                <w:b/>
              </w:rPr>
              <w:t>5.</w:t>
            </w:r>
            <w:r>
              <w:rPr>
                <w:b/>
                <w:bCs/>
              </w:rPr>
              <w:t xml:space="preserve"> Informaţii privind avizarea de către</w:t>
            </w:r>
            <w:r>
              <w:rPr>
                <w:b/>
              </w:rPr>
              <w:t>:</w:t>
            </w:r>
          </w:p>
          <w:p w:rsidR="00613945" w:rsidRPr="00863736" w:rsidRDefault="00ED78E8" w:rsidP="002B53D7">
            <w:pPr>
              <w:tabs>
                <w:tab w:val="left" w:pos="6195"/>
              </w:tabs>
              <w:autoSpaceDE w:val="0"/>
              <w:autoSpaceDN w:val="0"/>
              <w:adjustRightInd w:val="0"/>
              <w:jc w:val="both"/>
            </w:pPr>
            <w:r>
              <w:t xml:space="preserve">a) Consiliul Legislativ </w:t>
            </w:r>
          </w:p>
          <w:p w:rsidR="00613945" w:rsidRPr="00863736" w:rsidRDefault="00ED78E8" w:rsidP="002B53D7">
            <w:pPr>
              <w:autoSpaceDE w:val="0"/>
              <w:autoSpaceDN w:val="0"/>
              <w:adjustRightInd w:val="0"/>
              <w:jc w:val="both"/>
            </w:pPr>
            <w:r>
              <w:t>b) Consiliul Suprem de Apărare a Ţării</w:t>
            </w:r>
          </w:p>
          <w:p w:rsidR="00613945" w:rsidRPr="00863736" w:rsidRDefault="00ED78E8" w:rsidP="002B53D7">
            <w:pPr>
              <w:autoSpaceDE w:val="0"/>
              <w:autoSpaceDN w:val="0"/>
              <w:adjustRightInd w:val="0"/>
              <w:jc w:val="both"/>
            </w:pPr>
            <w:r>
              <w:t xml:space="preserve">c) Consiliul Economic şi Social </w:t>
            </w:r>
          </w:p>
          <w:p w:rsidR="00613945" w:rsidRPr="00863736" w:rsidRDefault="00ED78E8" w:rsidP="002B53D7">
            <w:pPr>
              <w:autoSpaceDE w:val="0"/>
              <w:autoSpaceDN w:val="0"/>
              <w:adjustRightInd w:val="0"/>
              <w:jc w:val="both"/>
            </w:pPr>
            <w:r>
              <w:t xml:space="preserve">d) Consiliul Concurenţei </w:t>
            </w:r>
          </w:p>
          <w:p w:rsidR="00613945" w:rsidRPr="00863736" w:rsidRDefault="00ED78E8" w:rsidP="002B53D7">
            <w:pPr>
              <w:jc w:val="both"/>
            </w:pPr>
            <w:r>
              <w:t>e) Curtea de Conturi</w:t>
            </w:r>
          </w:p>
          <w:p w:rsidR="00613945" w:rsidRPr="00863736" w:rsidRDefault="00ED78E8" w:rsidP="00FE6E31">
            <w:pPr>
              <w:jc w:val="both"/>
            </w:pPr>
            <w:r>
              <w:rPr>
                <w:b/>
              </w:rPr>
              <w:t xml:space="preserve">    Proiectul de act normativ va fi avizat de către </w:t>
            </w:r>
            <w:r>
              <w:t>Consiliul Economic şi Social și Consiliul Legislativ</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AE6F6C" w:rsidRPr="00863736" w:rsidRDefault="00ED78E8" w:rsidP="002B53D7">
            <w:pPr>
              <w:jc w:val="both"/>
              <w:rPr>
                <w:b/>
              </w:rPr>
            </w:pPr>
            <w:r>
              <w:rPr>
                <w:b/>
              </w:rPr>
              <w:t>6. Alte informaţii</w:t>
            </w:r>
          </w:p>
          <w:p w:rsidR="00996FA3" w:rsidRPr="00863736" w:rsidRDefault="00996FA3" w:rsidP="002B53D7">
            <w:pPr>
              <w:jc w:val="both"/>
            </w:pPr>
            <w:r>
              <w:rPr>
                <w:bCs/>
              </w:rPr>
              <w:t>Procesul de elaborare a proiectului de hotărâre de Guvern a permis tuturor entităților interesate să-și exprime punctul de vedere, inclusiv structurile la nivel local și central, asociații sindicale și patronale.</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tabs>
                <w:tab w:val="left" w:pos="2160"/>
              </w:tabs>
              <w:jc w:val="center"/>
              <w:rPr>
                <w:b/>
              </w:rPr>
            </w:pPr>
            <w:r>
              <w:rPr>
                <w:b/>
              </w:rPr>
              <w:t>Secţiunea a 7-a</w:t>
            </w:r>
          </w:p>
          <w:p w:rsidR="00613945" w:rsidRPr="00863736" w:rsidRDefault="00ED78E8" w:rsidP="002B53D7">
            <w:pPr>
              <w:jc w:val="center"/>
              <w:rPr>
                <w:b/>
              </w:rPr>
            </w:pPr>
            <w:r>
              <w:rPr>
                <w:b/>
              </w:rPr>
              <w:t xml:space="preserve">Activităţi de informare publică privind elaborarea </w:t>
            </w:r>
          </w:p>
          <w:p w:rsidR="0098030F" w:rsidRPr="00863736" w:rsidRDefault="00ED78E8" w:rsidP="002B53D7">
            <w:pPr>
              <w:jc w:val="center"/>
              <w:rPr>
                <w:b/>
              </w:rPr>
            </w:pPr>
            <w:r>
              <w:rPr>
                <w:b/>
              </w:rPr>
              <w:t>şi implementarea prezentului  act normativ</w:t>
            </w:r>
          </w:p>
          <w:p w:rsidR="00A46A1F" w:rsidRPr="00863736" w:rsidRDefault="00A46A1F" w:rsidP="002B53D7">
            <w:pPr>
              <w:jc w:val="center"/>
              <w:rPr>
                <w:b/>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8B34DD" w:rsidRDefault="00ED78E8" w:rsidP="00863736">
            <w:pPr>
              <w:jc w:val="both"/>
              <w:rPr>
                <w:b/>
              </w:rPr>
            </w:pPr>
            <w:r>
              <w:rPr>
                <w:b/>
              </w:rPr>
              <w:t>1.  Informarea societăţii civile cu privire la necesitatea elaborării prezentului act normativ</w:t>
            </w:r>
          </w:p>
          <w:p w:rsidR="008B34DD" w:rsidRDefault="008B34DD" w:rsidP="00863736">
            <w:pPr>
              <w:jc w:val="both"/>
              <w:rPr>
                <w:b/>
              </w:rPr>
            </w:pPr>
          </w:p>
          <w:p w:rsidR="00851903" w:rsidRDefault="00ED78E8" w:rsidP="00863736">
            <w:pPr>
              <w:jc w:val="both"/>
              <w:rPr>
                <w:bCs/>
              </w:rPr>
            </w:pPr>
            <w:r w:rsidRPr="008B34DD">
              <w:rPr>
                <w:bCs/>
              </w:rPr>
              <w:t xml:space="preserve">Pentru </w:t>
            </w:r>
            <w:r w:rsidR="008B34DD">
              <w:rPr>
                <w:bCs/>
              </w:rPr>
              <w:t>P</w:t>
            </w:r>
            <w:r w:rsidRPr="008B34DD">
              <w:rPr>
                <w:bCs/>
              </w:rPr>
              <w:t xml:space="preserve">roiectul de </w:t>
            </w:r>
            <w:r w:rsidR="008B34DD">
              <w:rPr>
                <w:bCs/>
              </w:rPr>
              <w:t>H</w:t>
            </w:r>
            <w:r w:rsidRPr="008B34DD">
              <w:rPr>
                <w:bCs/>
              </w:rPr>
              <w:t xml:space="preserve">otărâre </w:t>
            </w:r>
            <w:r w:rsidR="008B34DD">
              <w:rPr>
                <w:bCs/>
              </w:rPr>
              <w:t>s-</w:t>
            </w:r>
            <w:r w:rsidRPr="008B34DD">
              <w:rPr>
                <w:bCs/>
              </w:rPr>
              <w:t xml:space="preserve">a </w:t>
            </w:r>
            <w:r w:rsidR="008B34DD">
              <w:rPr>
                <w:bCs/>
              </w:rPr>
              <w:t xml:space="preserve">început </w:t>
            </w:r>
            <w:r w:rsidRPr="008B34DD">
              <w:rPr>
                <w:bCs/>
              </w:rPr>
              <w:t>procedura stabilită prin Legea nr.</w:t>
            </w:r>
            <w:r w:rsidR="008B34DD">
              <w:rPr>
                <w:bCs/>
              </w:rPr>
              <w:t xml:space="preserve"> </w:t>
            </w:r>
            <w:r w:rsidRPr="008B34DD">
              <w:rPr>
                <w:bCs/>
              </w:rPr>
              <w:t>52/2003 privind transparenţa decizională în administraţia publică,republicată.</w:t>
            </w:r>
          </w:p>
          <w:p w:rsidR="008B34DD" w:rsidRPr="008B34DD" w:rsidRDefault="008B34DD" w:rsidP="00863736">
            <w:pPr>
              <w:jc w:val="both"/>
              <w:rPr>
                <w:b/>
              </w:rPr>
            </w:pPr>
          </w:p>
          <w:p w:rsidR="008B34DD" w:rsidRDefault="00ED78E8" w:rsidP="00863736">
            <w:pPr>
              <w:jc w:val="both"/>
              <w:rPr>
                <w:bCs/>
              </w:rPr>
            </w:pPr>
            <w:r w:rsidRPr="008B34DD">
              <w:rPr>
                <w:bCs/>
              </w:rPr>
              <w:t>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r w:rsidR="00673390" w:rsidRPr="008B34DD">
              <w:rPr>
                <w:bCs/>
              </w:rPr>
              <w:t xml:space="preserve"> </w:t>
            </w:r>
          </w:p>
          <w:p w:rsidR="009F4F61" w:rsidRPr="00863736" w:rsidRDefault="009F4F61" w:rsidP="00863736">
            <w:pPr>
              <w:jc w:val="both"/>
              <w:rPr>
                <w:b/>
              </w:rPr>
            </w:pP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E4A51" w:rsidRPr="00863736" w:rsidRDefault="00ED78E8" w:rsidP="002B53D7">
            <w:pPr>
              <w:jc w:val="both"/>
              <w:rPr>
                <w:b/>
              </w:rPr>
            </w:pPr>
            <w:r>
              <w:rPr>
                <w:b/>
              </w:rPr>
              <w:t xml:space="preserve">2. Informarea societăţii civile cu privire la eventualul impact asupra mediului în urma implementării prezentului act normativ, precum şi efectele asupra sănătăţii şi securităţii cetăţenilor sau diversităţii biologice </w:t>
            </w:r>
          </w:p>
          <w:p w:rsidR="0009195F" w:rsidRPr="00863736" w:rsidRDefault="00ED78E8" w:rsidP="0009195F">
            <w:pPr>
              <w:jc w:val="both"/>
            </w:pPr>
            <w:r>
              <w:t>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F254C5" w:rsidRPr="00863736" w:rsidRDefault="00ED78E8" w:rsidP="002B53D7">
            <w:pPr>
              <w:jc w:val="both"/>
              <w:rPr>
                <w:b/>
              </w:rPr>
            </w:pPr>
            <w:r>
              <w:rPr>
                <w:b/>
              </w:rPr>
              <w:t>3.   Alte informaţii</w:t>
            </w:r>
          </w:p>
          <w:p w:rsidR="009F4F61" w:rsidRPr="00863736" w:rsidRDefault="00ED78E8" w:rsidP="002B53D7">
            <w:pPr>
              <w:jc w:val="both"/>
            </w:pPr>
            <w:r>
              <w:t>Nu este cazul.</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center"/>
            </w:pPr>
            <w:r>
              <w:rPr>
                <w:b/>
              </w:rPr>
              <w:t>Secţiunea a 8-a</w:t>
            </w:r>
          </w:p>
          <w:p w:rsidR="00A46A1F" w:rsidRPr="00863736" w:rsidRDefault="00ED78E8" w:rsidP="00863736">
            <w:pPr>
              <w:jc w:val="center"/>
              <w:rPr>
                <w:b/>
                <w:bCs/>
              </w:rPr>
            </w:pPr>
            <w:r>
              <w:rPr>
                <w:b/>
                <w:bCs/>
              </w:rPr>
              <w:t>Măsuri de implementare</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rPr>
            </w:pPr>
            <w:r>
              <w:rPr>
                <w:b/>
              </w:rPr>
              <w:t>1.  Măsurile de punere în aplicare a prezentului act normativ de către autorităţile administraţiei publice centrale şi/sau locale - înfiinţarea unor noi organisme sau extinderea competenţelor instituţiilor existente</w:t>
            </w:r>
          </w:p>
          <w:p w:rsidR="0009195F" w:rsidRPr="00863736" w:rsidRDefault="00ED78E8" w:rsidP="0009195F">
            <w:pPr>
              <w:jc w:val="both"/>
            </w:pPr>
            <w:r>
              <w:t>Prezentul act normativ nu se referă la acest subiect.</w:t>
            </w:r>
          </w:p>
        </w:tc>
      </w:tr>
      <w:tr w:rsidR="000E2275" w:rsidRPr="00863736" w:rsidTr="002F4F04">
        <w:tc>
          <w:tcPr>
            <w:tcW w:w="10544" w:type="dxa"/>
            <w:gridSpan w:val="7"/>
            <w:tcBorders>
              <w:top w:val="single" w:sz="4" w:space="0" w:color="auto"/>
              <w:left w:val="single" w:sz="4" w:space="0" w:color="auto"/>
              <w:bottom w:val="single" w:sz="4" w:space="0" w:color="auto"/>
              <w:right w:val="single" w:sz="4" w:space="0" w:color="auto"/>
            </w:tcBorders>
          </w:tcPr>
          <w:p w:rsidR="00613945" w:rsidRPr="00863736" w:rsidRDefault="00ED78E8" w:rsidP="002B53D7">
            <w:pPr>
              <w:jc w:val="both"/>
              <w:rPr>
                <w:b/>
              </w:rPr>
            </w:pPr>
            <w:r>
              <w:rPr>
                <w:b/>
              </w:rPr>
              <w:t>2.  Alte informații</w:t>
            </w:r>
          </w:p>
          <w:p w:rsidR="0009195F" w:rsidRPr="00863736" w:rsidRDefault="00ED78E8" w:rsidP="002B53D7">
            <w:pPr>
              <w:jc w:val="both"/>
            </w:pPr>
            <w:r>
              <w:t>Nu este cazul.</w:t>
            </w:r>
          </w:p>
        </w:tc>
      </w:tr>
    </w:tbl>
    <w:p w:rsidR="000454A5" w:rsidRPr="00863736" w:rsidRDefault="000454A5" w:rsidP="008B62AB">
      <w:pPr>
        <w:autoSpaceDE w:val="0"/>
        <w:autoSpaceDN w:val="0"/>
        <w:adjustRightInd w:val="0"/>
        <w:ind w:left="-284" w:right="-427"/>
        <w:jc w:val="both"/>
      </w:pPr>
    </w:p>
    <w:p w:rsidR="00F42457" w:rsidRDefault="00F42457">
      <w:r>
        <w:br w:type="page"/>
      </w:r>
    </w:p>
    <w:p w:rsidR="000454A5" w:rsidRPr="00863736" w:rsidRDefault="000454A5" w:rsidP="00863736"/>
    <w:p w:rsidR="0009195F" w:rsidRPr="00863736" w:rsidRDefault="00ED78E8" w:rsidP="008B62AB">
      <w:pPr>
        <w:autoSpaceDE w:val="0"/>
        <w:autoSpaceDN w:val="0"/>
        <w:adjustRightInd w:val="0"/>
        <w:ind w:left="-284" w:right="-427"/>
        <w:jc w:val="both"/>
      </w:pPr>
      <w:r>
        <w:t>Față de cele prezentate, a fost promovată prezenta Hotărâre a Guvernului pentru stabilirea salariului de bază minim brut pe ţară garantat în plată.</w:t>
      </w:r>
    </w:p>
    <w:p w:rsidR="0009195F" w:rsidRPr="00863736" w:rsidRDefault="0009195F" w:rsidP="0009195F">
      <w:pPr>
        <w:autoSpaceDE w:val="0"/>
        <w:autoSpaceDN w:val="0"/>
        <w:adjustRightInd w:val="0"/>
        <w:ind w:firstLine="708"/>
        <w:jc w:val="both"/>
      </w:pPr>
    </w:p>
    <w:p w:rsidR="00863736" w:rsidRPr="00863736" w:rsidRDefault="00863736" w:rsidP="0009195F">
      <w:pPr>
        <w:autoSpaceDE w:val="0"/>
        <w:autoSpaceDN w:val="0"/>
        <w:adjustRightInd w:val="0"/>
        <w:ind w:firstLine="708"/>
        <w:jc w:val="both"/>
      </w:pPr>
    </w:p>
    <w:p w:rsidR="0009195F" w:rsidRPr="00863736" w:rsidRDefault="0009195F" w:rsidP="0009195F">
      <w:pPr>
        <w:autoSpaceDE w:val="0"/>
        <w:autoSpaceDN w:val="0"/>
        <w:adjustRightInd w:val="0"/>
        <w:ind w:firstLine="708"/>
        <w:jc w:val="both"/>
      </w:pPr>
    </w:p>
    <w:p w:rsidR="0009195F" w:rsidRPr="00863736" w:rsidRDefault="00ED78E8" w:rsidP="0009195F">
      <w:pPr>
        <w:jc w:val="center"/>
        <w:rPr>
          <w:b/>
          <w:bCs/>
        </w:rPr>
      </w:pPr>
      <w:r>
        <w:rPr>
          <w:b/>
          <w:bCs/>
        </w:rPr>
        <w:t>Ministrul muncii și protecției sociale</w:t>
      </w:r>
    </w:p>
    <w:p w:rsidR="00FF17A2" w:rsidRPr="00863736" w:rsidRDefault="00ED78E8" w:rsidP="00FF17A2">
      <w:pPr>
        <w:ind w:right="-540"/>
        <w:rPr>
          <w:b/>
          <w:bCs/>
        </w:rPr>
      </w:pPr>
      <w:r>
        <w:rPr>
          <w:b/>
          <w:bCs/>
        </w:rPr>
        <w:t xml:space="preserve">   </w:t>
      </w:r>
    </w:p>
    <w:p w:rsidR="0009195F" w:rsidRPr="00863736" w:rsidRDefault="00ED78E8" w:rsidP="00FF17A2">
      <w:pPr>
        <w:ind w:right="-540"/>
      </w:pPr>
      <w:r>
        <w:rPr>
          <w:b/>
          <w:bCs/>
        </w:rPr>
        <w:t xml:space="preserve">                                                    </w:t>
      </w:r>
      <w:r w:rsidR="00144931">
        <w:rPr>
          <w:b/>
          <w:bCs/>
        </w:rPr>
        <w:t xml:space="preserve">           </w:t>
      </w:r>
      <w:r>
        <w:rPr>
          <w:b/>
          <w:bCs/>
        </w:rPr>
        <w:t xml:space="preserve"> </w:t>
      </w:r>
      <w:r w:rsidR="00144931">
        <w:rPr>
          <w:b/>
          <w:bCs/>
        </w:rPr>
        <w:t>Raluca TURCAN</w:t>
      </w:r>
    </w:p>
    <w:p w:rsidR="0009195F" w:rsidRPr="00863736" w:rsidRDefault="0009195F" w:rsidP="0009195F">
      <w:pPr>
        <w:ind w:right="-540"/>
        <w:jc w:val="both"/>
        <w:rPr>
          <w:rFonts w:eastAsia="Calibri"/>
        </w:rPr>
      </w:pPr>
    </w:p>
    <w:p w:rsidR="002B53D7" w:rsidRPr="00863736" w:rsidRDefault="002B53D7" w:rsidP="002B53D7">
      <w:pPr>
        <w:autoSpaceDE w:val="0"/>
        <w:autoSpaceDN w:val="0"/>
        <w:adjustRightInd w:val="0"/>
        <w:jc w:val="both"/>
      </w:pPr>
    </w:p>
    <w:p w:rsidR="00863736" w:rsidRPr="00863736" w:rsidRDefault="00ED78E8" w:rsidP="00863736">
      <w:pPr>
        <w:autoSpaceDE w:val="0"/>
        <w:autoSpaceDN w:val="0"/>
        <w:adjustRightInd w:val="0"/>
        <w:jc w:val="center"/>
        <w:rPr>
          <w:b/>
          <w:u w:val="single"/>
        </w:rPr>
      </w:pPr>
      <w:r>
        <w:rPr>
          <w:b/>
          <w:u w:val="single"/>
        </w:rPr>
        <w:t>AVIZAT:</w:t>
      </w:r>
    </w:p>
    <w:p w:rsidR="00863736" w:rsidRPr="00863736" w:rsidRDefault="00863736" w:rsidP="002B53D7">
      <w:pPr>
        <w:autoSpaceDE w:val="0"/>
        <w:autoSpaceDN w:val="0"/>
        <w:adjustRightInd w:val="0"/>
        <w:jc w:val="both"/>
      </w:pPr>
    </w:p>
    <w:p w:rsidR="00863736" w:rsidRPr="00863736" w:rsidRDefault="00863736" w:rsidP="002B53D7">
      <w:pPr>
        <w:autoSpaceDE w:val="0"/>
        <w:autoSpaceDN w:val="0"/>
        <w:adjustRightInd w:val="0"/>
        <w:jc w:val="both"/>
      </w:pPr>
    </w:p>
    <w:p w:rsidR="00863736" w:rsidRPr="00863736" w:rsidRDefault="00863736" w:rsidP="002B53D7">
      <w:pPr>
        <w:autoSpaceDE w:val="0"/>
        <w:autoSpaceDN w:val="0"/>
        <w:adjustRightInd w:val="0"/>
        <w:jc w:val="both"/>
      </w:pPr>
    </w:p>
    <w:p w:rsidR="00144931" w:rsidRDefault="00ED78E8" w:rsidP="00FF17A2">
      <w:pPr>
        <w:autoSpaceDE w:val="0"/>
        <w:autoSpaceDN w:val="0"/>
        <w:adjustRightInd w:val="0"/>
        <w:jc w:val="center"/>
        <w:rPr>
          <w:b/>
        </w:rPr>
      </w:pPr>
      <w:r>
        <w:rPr>
          <w:b/>
        </w:rPr>
        <w:t>Ministrul economiei,</w:t>
      </w:r>
      <w:r w:rsidR="00144931">
        <w:rPr>
          <w:b/>
        </w:rPr>
        <w:t xml:space="preserve"> antreprenoriatului</w:t>
      </w:r>
      <w:r>
        <w:rPr>
          <w:b/>
        </w:rPr>
        <w:t xml:space="preserve"> </w:t>
      </w:r>
      <w:r w:rsidR="00144931">
        <w:rPr>
          <w:b/>
        </w:rPr>
        <w:t>și turismului,</w:t>
      </w:r>
    </w:p>
    <w:p w:rsidR="00144931" w:rsidRDefault="00144931" w:rsidP="00FF17A2">
      <w:pPr>
        <w:autoSpaceDE w:val="0"/>
        <w:autoSpaceDN w:val="0"/>
        <w:adjustRightInd w:val="0"/>
        <w:jc w:val="center"/>
        <w:rPr>
          <w:b/>
        </w:rPr>
      </w:pPr>
    </w:p>
    <w:p w:rsidR="00144931" w:rsidRDefault="00144931" w:rsidP="00FF17A2">
      <w:pPr>
        <w:autoSpaceDE w:val="0"/>
        <w:autoSpaceDN w:val="0"/>
        <w:adjustRightInd w:val="0"/>
        <w:jc w:val="center"/>
        <w:rPr>
          <w:b/>
        </w:rPr>
      </w:pPr>
      <w:r>
        <w:rPr>
          <w:b/>
        </w:rPr>
        <w:t>Claudiu-Iulius-Gavril NĂSUI</w:t>
      </w:r>
    </w:p>
    <w:p w:rsidR="00144931" w:rsidRDefault="00144931" w:rsidP="00FF17A2">
      <w:pPr>
        <w:autoSpaceDE w:val="0"/>
        <w:autoSpaceDN w:val="0"/>
        <w:adjustRightInd w:val="0"/>
        <w:jc w:val="center"/>
        <w:rPr>
          <w:b/>
        </w:rPr>
      </w:pPr>
    </w:p>
    <w:p w:rsidR="00FF17A2" w:rsidRPr="00863736" w:rsidRDefault="00FF17A2" w:rsidP="002A0CE0">
      <w:pPr>
        <w:autoSpaceDE w:val="0"/>
        <w:autoSpaceDN w:val="0"/>
        <w:adjustRightInd w:val="0"/>
      </w:pPr>
    </w:p>
    <w:p w:rsidR="00863736" w:rsidRPr="00863736" w:rsidRDefault="00863736" w:rsidP="00FF17A2">
      <w:pPr>
        <w:autoSpaceDE w:val="0"/>
        <w:autoSpaceDN w:val="0"/>
        <w:adjustRightInd w:val="0"/>
        <w:jc w:val="center"/>
      </w:pPr>
    </w:p>
    <w:p w:rsidR="00FF17A2" w:rsidRPr="00863736" w:rsidRDefault="00FF17A2" w:rsidP="00FF17A2">
      <w:pPr>
        <w:autoSpaceDE w:val="0"/>
        <w:autoSpaceDN w:val="0"/>
        <w:adjustRightInd w:val="0"/>
        <w:jc w:val="center"/>
      </w:pPr>
      <w:bookmarkStart w:id="0" w:name="_GoBack"/>
      <w:bookmarkEnd w:id="0"/>
    </w:p>
    <w:p w:rsidR="00FF17A2" w:rsidRDefault="00144931" w:rsidP="00FF17A2">
      <w:pPr>
        <w:autoSpaceDE w:val="0"/>
        <w:autoSpaceDN w:val="0"/>
        <w:adjustRightInd w:val="0"/>
        <w:jc w:val="center"/>
        <w:rPr>
          <w:b/>
        </w:rPr>
      </w:pPr>
      <w:r>
        <w:rPr>
          <w:b/>
        </w:rPr>
        <w:t>Ministrul finanţelor</w:t>
      </w:r>
      <w:r w:rsidR="00ED78E8">
        <w:rPr>
          <w:b/>
        </w:rPr>
        <w:t xml:space="preserve"> ,</w:t>
      </w:r>
    </w:p>
    <w:p w:rsidR="00144931" w:rsidRDefault="00144931" w:rsidP="00FF17A2">
      <w:pPr>
        <w:autoSpaceDE w:val="0"/>
        <w:autoSpaceDN w:val="0"/>
        <w:adjustRightInd w:val="0"/>
        <w:jc w:val="center"/>
        <w:rPr>
          <w:b/>
        </w:rPr>
      </w:pPr>
    </w:p>
    <w:p w:rsidR="00144931" w:rsidRPr="00863736" w:rsidRDefault="00144931" w:rsidP="00FF17A2">
      <w:pPr>
        <w:autoSpaceDE w:val="0"/>
        <w:autoSpaceDN w:val="0"/>
        <w:adjustRightInd w:val="0"/>
        <w:jc w:val="center"/>
        <w:rPr>
          <w:b/>
        </w:rPr>
      </w:pPr>
      <w:r>
        <w:rPr>
          <w:b/>
        </w:rPr>
        <w:t>Alexandru NAZARE</w:t>
      </w:r>
    </w:p>
    <w:p w:rsidR="00FF17A2" w:rsidRPr="00863736" w:rsidRDefault="00FF17A2" w:rsidP="00FF17A2">
      <w:pPr>
        <w:autoSpaceDE w:val="0"/>
        <w:autoSpaceDN w:val="0"/>
        <w:adjustRightInd w:val="0"/>
        <w:jc w:val="center"/>
        <w:rPr>
          <w:b/>
        </w:rPr>
      </w:pPr>
    </w:p>
    <w:p w:rsidR="000454A5" w:rsidRPr="00863736" w:rsidRDefault="000454A5" w:rsidP="00FF17A2">
      <w:pPr>
        <w:autoSpaceDE w:val="0"/>
        <w:autoSpaceDN w:val="0"/>
        <w:adjustRightInd w:val="0"/>
        <w:jc w:val="center"/>
        <w:rPr>
          <w:b/>
        </w:rPr>
      </w:pPr>
    </w:p>
    <w:p w:rsidR="000454A5" w:rsidRPr="00863736" w:rsidRDefault="000454A5" w:rsidP="00FF17A2">
      <w:pPr>
        <w:autoSpaceDE w:val="0"/>
        <w:autoSpaceDN w:val="0"/>
        <w:adjustRightInd w:val="0"/>
        <w:jc w:val="center"/>
        <w:rPr>
          <w:b/>
        </w:rPr>
      </w:pPr>
    </w:p>
    <w:p w:rsidR="00863736" w:rsidRPr="00863736" w:rsidRDefault="00863736" w:rsidP="00FF17A2">
      <w:pPr>
        <w:autoSpaceDE w:val="0"/>
        <w:autoSpaceDN w:val="0"/>
        <w:adjustRightInd w:val="0"/>
        <w:jc w:val="center"/>
        <w:rPr>
          <w:b/>
        </w:rPr>
      </w:pPr>
    </w:p>
    <w:p w:rsidR="000454A5" w:rsidRPr="00863736" w:rsidRDefault="00ED78E8" w:rsidP="000454A5">
      <w:pPr>
        <w:jc w:val="center"/>
        <w:rPr>
          <w:b/>
        </w:rPr>
      </w:pPr>
      <w:r>
        <w:rPr>
          <w:b/>
        </w:rPr>
        <w:t>Ministrul Justiţiei ,</w:t>
      </w:r>
    </w:p>
    <w:p w:rsidR="000454A5" w:rsidRPr="00863736" w:rsidRDefault="000454A5" w:rsidP="000454A5">
      <w:pPr>
        <w:spacing w:after="160" w:line="259" w:lineRule="auto"/>
        <w:jc w:val="center"/>
        <w:rPr>
          <w:b/>
        </w:rPr>
      </w:pPr>
    </w:p>
    <w:p w:rsidR="008B5B83" w:rsidRPr="00863736" w:rsidRDefault="00ED78E8">
      <w:pPr>
        <w:rPr>
          <w:b/>
        </w:rPr>
      </w:pPr>
      <w:r>
        <w:rPr>
          <w:b/>
        </w:rPr>
        <w:t xml:space="preserve">                                                         </w:t>
      </w:r>
      <w:r w:rsidR="00144931">
        <w:rPr>
          <w:b/>
        </w:rPr>
        <w:t xml:space="preserve">     </w:t>
      </w:r>
      <w:r>
        <w:rPr>
          <w:b/>
        </w:rPr>
        <w:t xml:space="preserve"> </w:t>
      </w:r>
      <w:r w:rsidR="00144931">
        <w:rPr>
          <w:b/>
        </w:rPr>
        <w:t>Stelian-Cristian ION</w:t>
      </w:r>
    </w:p>
    <w:sectPr w:rsidR="008B5B83" w:rsidRPr="00863736" w:rsidSect="002F4F04">
      <w:pgSz w:w="11906" w:h="16838" w:code="9"/>
      <w:pgMar w:top="810"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B8" w:rsidRDefault="00843AB8" w:rsidP="004463FB">
      <w:r>
        <w:separator/>
      </w:r>
    </w:p>
  </w:endnote>
  <w:endnote w:type="continuationSeparator" w:id="0">
    <w:p w:rsidR="00843AB8" w:rsidRDefault="00843AB8" w:rsidP="0044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B8" w:rsidRDefault="00843AB8" w:rsidP="004463FB">
      <w:r>
        <w:separator/>
      </w:r>
    </w:p>
  </w:footnote>
  <w:footnote w:type="continuationSeparator" w:id="0">
    <w:p w:rsidR="00843AB8" w:rsidRDefault="00843AB8" w:rsidP="0044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619"/>
    <w:multiLevelType w:val="hybridMultilevel"/>
    <w:tmpl w:val="05D88FB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AF6DE6"/>
    <w:multiLevelType w:val="hybridMultilevel"/>
    <w:tmpl w:val="BD6C5DFE"/>
    <w:lvl w:ilvl="0" w:tplc="0409000B">
      <w:start w:val="1"/>
      <w:numFmt w:val="bullet"/>
      <w:lvlText w:val=""/>
      <w:lvlJc w:val="left"/>
      <w:pPr>
        <w:tabs>
          <w:tab w:val="num" w:pos="1003"/>
        </w:tabs>
        <w:ind w:left="1003" w:hanging="360"/>
      </w:pPr>
      <w:rPr>
        <w:rFonts w:ascii="Wingdings" w:hAnsi="Wingdings" w:hint="default"/>
      </w:rPr>
    </w:lvl>
    <w:lvl w:ilvl="1" w:tplc="0598F9FA">
      <w:start w:val="19"/>
      <w:numFmt w:val="bullet"/>
      <w:lvlText w:val="-"/>
      <w:lvlJc w:val="left"/>
      <w:pPr>
        <w:tabs>
          <w:tab w:val="num" w:pos="1723"/>
        </w:tabs>
        <w:ind w:left="1723" w:hanging="360"/>
      </w:pPr>
      <w:rPr>
        <w:rFonts w:ascii="Times New Roman" w:eastAsia="Times New Roman" w:hAnsi="Times New Roman" w:cs="Times New Roman"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6A064D5"/>
    <w:multiLevelType w:val="hybridMultilevel"/>
    <w:tmpl w:val="D3E47F2A"/>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9F81C46"/>
    <w:multiLevelType w:val="hybridMultilevel"/>
    <w:tmpl w:val="C4963552"/>
    <w:lvl w:ilvl="0" w:tplc="04180005">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11145E41"/>
    <w:multiLevelType w:val="hybridMultilevel"/>
    <w:tmpl w:val="E7A689C8"/>
    <w:lvl w:ilvl="0" w:tplc="E6D8A72A">
      <w:start w:val="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52061"/>
    <w:multiLevelType w:val="hybridMultilevel"/>
    <w:tmpl w:val="695C5FE0"/>
    <w:lvl w:ilvl="0" w:tplc="E6D8A72A">
      <w:start w:val="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8B4AB8"/>
    <w:multiLevelType w:val="hybridMultilevel"/>
    <w:tmpl w:val="52B4288A"/>
    <w:lvl w:ilvl="0" w:tplc="2E68D3B0">
      <w:start w:val="1"/>
      <w:numFmt w:val="bullet"/>
      <w:lvlText w:val=""/>
      <w:lvlJc w:val="left"/>
      <w:pPr>
        <w:tabs>
          <w:tab w:val="num" w:pos="493"/>
        </w:tabs>
        <w:ind w:left="474" w:hanging="114"/>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4C0331D"/>
    <w:multiLevelType w:val="hybridMultilevel"/>
    <w:tmpl w:val="E3EEA6D4"/>
    <w:lvl w:ilvl="0" w:tplc="0198746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E71706"/>
    <w:multiLevelType w:val="hybridMultilevel"/>
    <w:tmpl w:val="0AF80AAA"/>
    <w:lvl w:ilvl="0" w:tplc="A086C34E">
      <w:start w:val="1"/>
      <w:numFmt w:val="bullet"/>
      <w:lvlText w:val=""/>
      <w:lvlJc w:val="left"/>
      <w:pPr>
        <w:ind w:left="1080" w:hanging="360"/>
      </w:pPr>
      <w:rPr>
        <w:rFonts w:ascii="Wingdings 3" w:hAnsi="Wingdings 3"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35B59"/>
    <w:multiLevelType w:val="hybridMultilevel"/>
    <w:tmpl w:val="5F465C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1C146E"/>
    <w:multiLevelType w:val="hybridMultilevel"/>
    <w:tmpl w:val="EECEE2D4"/>
    <w:lvl w:ilvl="0" w:tplc="03900B1A">
      <w:start w:val="1"/>
      <w:numFmt w:val="bullet"/>
      <w:lvlText w:val="►"/>
      <w:lvlJc w:val="left"/>
      <w:pPr>
        <w:tabs>
          <w:tab w:val="num" w:pos="1474"/>
        </w:tabs>
        <w:ind w:left="1474" w:hanging="394"/>
      </w:pPr>
      <w:rPr>
        <w:rFonts w:ascii="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0098D"/>
    <w:multiLevelType w:val="hybridMultilevel"/>
    <w:tmpl w:val="9C109CF8"/>
    <w:lvl w:ilvl="0" w:tplc="57F01E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46AE1"/>
    <w:multiLevelType w:val="multilevel"/>
    <w:tmpl w:val="E764A6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622308"/>
    <w:multiLevelType w:val="hybridMultilevel"/>
    <w:tmpl w:val="337EF698"/>
    <w:lvl w:ilvl="0" w:tplc="E6D8A72A">
      <w:start w:val="8"/>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A1471"/>
    <w:multiLevelType w:val="hybridMultilevel"/>
    <w:tmpl w:val="43580E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B55A6A"/>
    <w:multiLevelType w:val="hybridMultilevel"/>
    <w:tmpl w:val="A2AC3956"/>
    <w:lvl w:ilvl="0" w:tplc="04180001">
      <w:start w:val="1"/>
      <w:numFmt w:val="bullet"/>
      <w:lvlText w:val=""/>
      <w:lvlJc w:val="left"/>
      <w:pPr>
        <w:ind w:left="1422" w:hanging="360"/>
      </w:pPr>
      <w:rPr>
        <w:rFonts w:ascii="Symbol" w:hAnsi="Symbol" w:hint="default"/>
      </w:rPr>
    </w:lvl>
    <w:lvl w:ilvl="1" w:tplc="04180003" w:tentative="1">
      <w:start w:val="1"/>
      <w:numFmt w:val="bullet"/>
      <w:lvlText w:val="o"/>
      <w:lvlJc w:val="left"/>
      <w:pPr>
        <w:ind w:left="2142" w:hanging="360"/>
      </w:pPr>
      <w:rPr>
        <w:rFonts w:ascii="Courier New" w:hAnsi="Courier New" w:cs="Courier New" w:hint="default"/>
      </w:rPr>
    </w:lvl>
    <w:lvl w:ilvl="2" w:tplc="04180005" w:tentative="1">
      <w:start w:val="1"/>
      <w:numFmt w:val="bullet"/>
      <w:lvlText w:val=""/>
      <w:lvlJc w:val="left"/>
      <w:pPr>
        <w:ind w:left="2862" w:hanging="360"/>
      </w:pPr>
      <w:rPr>
        <w:rFonts w:ascii="Wingdings" w:hAnsi="Wingdings" w:hint="default"/>
      </w:rPr>
    </w:lvl>
    <w:lvl w:ilvl="3" w:tplc="04180001" w:tentative="1">
      <w:start w:val="1"/>
      <w:numFmt w:val="bullet"/>
      <w:lvlText w:val=""/>
      <w:lvlJc w:val="left"/>
      <w:pPr>
        <w:ind w:left="3582" w:hanging="360"/>
      </w:pPr>
      <w:rPr>
        <w:rFonts w:ascii="Symbol" w:hAnsi="Symbol" w:hint="default"/>
      </w:rPr>
    </w:lvl>
    <w:lvl w:ilvl="4" w:tplc="04180003" w:tentative="1">
      <w:start w:val="1"/>
      <w:numFmt w:val="bullet"/>
      <w:lvlText w:val="o"/>
      <w:lvlJc w:val="left"/>
      <w:pPr>
        <w:ind w:left="4302" w:hanging="360"/>
      </w:pPr>
      <w:rPr>
        <w:rFonts w:ascii="Courier New" w:hAnsi="Courier New" w:cs="Courier New" w:hint="default"/>
      </w:rPr>
    </w:lvl>
    <w:lvl w:ilvl="5" w:tplc="04180005" w:tentative="1">
      <w:start w:val="1"/>
      <w:numFmt w:val="bullet"/>
      <w:lvlText w:val=""/>
      <w:lvlJc w:val="left"/>
      <w:pPr>
        <w:ind w:left="5022" w:hanging="360"/>
      </w:pPr>
      <w:rPr>
        <w:rFonts w:ascii="Wingdings" w:hAnsi="Wingdings" w:hint="default"/>
      </w:rPr>
    </w:lvl>
    <w:lvl w:ilvl="6" w:tplc="04180001" w:tentative="1">
      <w:start w:val="1"/>
      <w:numFmt w:val="bullet"/>
      <w:lvlText w:val=""/>
      <w:lvlJc w:val="left"/>
      <w:pPr>
        <w:ind w:left="5742" w:hanging="360"/>
      </w:pPr>
      <w:rPr>
        <w:rFonts w:ascii="Symbol" w:hAnsi="Symbol" w:hint="default"/>
      </w:rPr>
    </w:lvl>
    <w:lvl w:ilvl="7" w:tplc="04180003" w:tentative="1">
      <w:start w:val="1"/>
      <w:numFmt w:val="bullet"/>
      <w:lvlText w:val="o"/>
      <w:lvlJc w:val="left"/>
      <w:pPr>
        <w:ind w:left="6462" w:hanging="360"/>
      </w:pPr>
      <w:rPr>
        <w:rFonts w:ascii="Courier New" w:hAnsi="Courier New" w:cs="Courier New" w:hint="default"/>
      </w:rPr>
    </w:lvl>
    <w:lvl w:ilvl="8" w:tplc="04180005" w:tentative="1">
      <w:start w:val="1"/>
      <w:numFmt w:val="bullet"/>
      <w:lvlText w:val=""/>
      <w:lvlJc w:val="left"/>
      <w:pPr>
        <w:ind w:left="7182" w:hanging="360"/>
      </w:pPr>
      <w:rPr>
        <w:rFonts w:ascii="Wingdings" w:hAnsi="Wingdings" w:hint="default"/>
      </w:rPr>
    </w:lvl>
  </w:abstractNum>
  <w:abstractNum w:abstractNumId="18" w15:restartNumberingAfterBreak="0">
    <w:nsid w:val="3222793A"/>
    <w:multiLevelType w:val="hybridMultilevel"/>
    <w:tmpl w:val="070463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D01DB1"/>
    <w:multiLevelType w:val="hybridMultilevel"/>
    <w:tmpl w:val="95B4837A"/>
    <w:lvl w:ilvl="0" w:tplc="809C859C">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CE14D8"/>
    <w:multiLevelType w:val="hybridMultilevel"/>
    <w:tmpl w:val="D1043B98"/>
    <w:lvl w:ilvl="0" w:tplc="6C3C93D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05C0E"/>
    <w:multiLevelType w:val="hybridMultilevel"/>
    <w:tmpl w:val="C0364E9A"/>
    <w:lvl w:ilvl="0" w:tplc="04180001">
      <w:start w:val="1"/>
      <w:numFmt w:val="bullet"/>
      <w:lvlText w:val=""/>
      <w:lvlJc w:val="left"/>
      <w:pPr>
        <w:ind w:left="1062" w:hanging="360"/>
      </w:pPr>
      <w:rPr>
        <w:rFonts w:ascii="Symbol" w:hAnsi="Symbol" w:hint="default"/>
      </w:rPr>
    </w:lvl>
    <w:lvl w:ilvl="1" w:tplc="04180003" w:tentative="1">
      <w:start w:val="1"/>
      <w:numFmt w:val="bullet"/>
      <w:lvlText w:val="o"/>
      <w:lvlJc w:val="left"/>
      <w:pPr>
        <w:ind w:left="1782" w:hanging="360"/>
      </w:pPr>
      <w:rPr>
        <w:rFonts w:ascii="Courier New" w:hAnsi="Courier New" w:cs="Courier New" w:hint="default"/>
      </w:rPr>
    </w:lvl>
    <w:lvl w:ilvl="2" w:tplc="04180005" w:tentative="1">
      <w:start w:val="1"/>
      <w:numFmt w:val="bullet"/>
      <w:lvlText w:val=""/>
      <w:lvlJc w:val="left"/>
      <w:pPr>
        <w:ind w:left="2502" w:hanging="360"/>
      </w:pPr>
      <w:rPr>
        <w:rFonts w:ascii="Wingdings" w:hAnsi="Wingdings" w:hint="default"/>
      </w:rPr>
    </w:lvl>
    <w:lvl w:ilvl="3" w:tplc="04180001" w:tentative="1">
      <w:start w:val="1"/>
      <w:numFmt w:val="bullet"/>
      <w:lvlText w:val=""/>
      <w:lvlJc w:val="left"/>
      <w:pPr>
        <w:ind w:left="3222" w:hanging="360"/>
      </w:pPr>
      <w:rPr>
        <w:rFonts w:ascii="Symbol" w:hAnsi="Symbol" w:hint="default"/>
      </w:rPr>
    </w:lvl>
    <w:lvl w:ilvl="4" w:tplc="04180003" w:tentative="1">
      <w:start w:val="1"/>
      <w:numFmt w:val="bullet"/>
      <w:lvlText w:val="o"/>
      <w:lvlJc w:val="left"/>
      <w:pPr>
        <w:ind w:left="3942" w:hanging="360"/>
      </w:pPr>
      <w:rPr>
        <w:rFonts w:ascii="Courier New" w:hAnsi="Courier New" w:cs="Courier New" w:hint="default"/>
      </w:rPr>
    </w:lvl>
    <w:lvl w:ilvl="5" w:tplc="04180005" w:tentative="1">
      <w:start w:val="1"/>
      <w:numFmt w:val="bullet"/>
      <w:lvlText w:val=""/>
      <w:lvlJc w:val="left"/>
      <w:pPr>
        <w:ind w:left="4662" w:hanging="360"/>
      </w:pPr>
      <w:rPr>
        <w:rFonts w:ascii="Wingdings" w:hAnsi="Wingdings" w:hint="default"/>
      </w:rPr>
    </w:lvl>
    <w:lvl w:ilvl="6" w:tplc="04180001" w:tentative="1">
      <w:start w:val="1"/>
      <w:numFmt w:val="bullet"/>
      <w:lvlText w:val=""/>
      <w:lvlJc w:val="left"/>
      <w:pPr>
        <w:ind w:left="5382" w:hanging="360"/>
      </w:pPr>
      <w:rPr>
        <w:rFonts w:ascii="Symbol" w:hAnsi="Symbol" w:hint="default"/>
      </w:rPr>
    </w:lvl>
    <w:lvl w:ilvl="7" w:tplc="04180003" w:tentative="1">
      <w:start w:val="1"/>
      <w:numFmt w:val="bullet"/>
      <w:lvlText w:val="o"/>
      <w:lvlJc w:val="left"/>
      <w:pPr>
        <w:ind w:left="6102" w:hanging="360"/>
      </w:pPr>
      <w:rPr>
        <w:rFonts w:ascii="Courier New" w:hAnsi="Courier New" w:cs="Courier New" w:hint="default"/>
      </w:rPr>
    </w:lvl>
    <w:lvl w:ilvl="8" w:tplc="04180005" w:tentative="1">
      <w:start w:val="1"/>
      <w:numFmt w:val="bullet"/>
      <w:lvlText w:val=""/>
      <w:lvlJc w:val="left"/>
      <w:pPr>
        <w:ind w:left="6822" w:hanging="360"/>
      </w:pPr>
      <w:rPr>
        <w:rFonts w:ascii="Wingdings" w:hAnsi="Wingdings" w:hint="default"/>
      </w:rPr>
    </w:lvl>
  </w:abstractNum>
  <w:abstractNum w:abstractNumId="24" w15:restartNumberingAfterBreak="0">
    <w:nsid w:val="45A93142"/>
    <w:multiLevelType w:val="hybridMultilevel"/>
    <w:tmpl w:val="B5CE1368"/>
    <w:lvl w:ilvl="0" w:tplc="98F44FB8">
      <w:start w:val="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E50FEA"/>
    <w:multiLevelType w:val="hybridMultilevel"/>
    <w:tmpl w:val="7A6C023E"/>
    <w:lvl w:ilvl="0" w:tplc="6A18BAE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B32BD"/>
    <w:multiLevelType w:val="hybridMultilevel"/>
    <w:tmpl w:val="77CA19E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602B15A6"/>
    <w:multiLevelType w:val="hybridMultilevel"/>
    <w:tmpl w:val="E764A638"/>
    <w:lvl w:ilvl="0" w:tplc="0418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990"/>
        </w:tabs>
        <w:ind w:left="99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60FF56A3"/>
    <w:multiLevelType w:val="hybridMultilevel"/>
    <w:tmpl w:val="E242BD5A"/>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0" w15:restartNumberingAfterBreak="0">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414CFC"/>
    <w:multiLevelType w:val="hybridMultilevel"/>
    <w:tmpl w:val="DFD4450A"/>
    <w:lvl w:ilvl="0" w:tplc="98F44FB8">
      <w:start w:val="12"/>
      <w:numFmt w:val="bullet"/>
      <w:lvlText w:val="-"/>
      <w:lvlJc w:val="left"/>
      <w:pPr>
        <w:ind w:left="1062" w:hanging="360"/>
      </w:pPr>
      <w:rPr>
        <w:rFonts w:ascii="Times New Roman" w:eastAsia="Times New Roman" w:hAnsi="Times New Roman" w:cs="Times New Roman" w:hint="default"/>
      </w:rPr>
    </w:lvl>
    <w:lvl w:ilvl="1" w:tplc="04180003" w:tentative="1">
      <w:start w:val="1"/>
      <w:numFmt w:val="bullet"/>
      <w:lvlText w:val="o"/>
      <w:lvlJc w:val="left"/>
      <w:pPr>
        <w:ind w:left="1782" w:hanging="360"/>
      </w:pPr>
      <w:rPr>
        <w:rFonts w:ascii="Courier New" w:hAnsi="Courier New" w:cs="Courier New" w:hint="default"/>
      </w:rPr>
    </w:lvl>
    <w:lvl w:ilvl="2" w:tplc="04180005" w:tentative="1">
      <w:start w:val="1"/>
      <w:numFmt w:val="bullet"/>
      <w:lvlText w:val=""/>
      <w:lvlJc w:val="left"/>
      <w:pPr>
        <w:ind w:left="2502" w:hanging="360"/>
      </w:pPr>
      <w:rPr>
        <w:rFonts w:ascii="Wingdings" w:hAnsi="Wingdings" w:hint="default"/>
      </w:rPr>
    </w:lvl>
    <w:lvl w:ilvl="3" w:tplc="04180001" w:tentative="1">
      <w:start w:val="1"/>
      <w:numFmt w:val="bullet"/>
      <w:lvlText w:val=""/>
      <w:lvlJc w:val="left"/>
      <w:pPr>
        <w:ind w:left="3222" w:hanging="360"/>
      </w:pPr>
      <w:rPr>
        <w:rFonts w:ascii="Symbol" w:hAnsi="Symbol" w:hint="default"/>
      </w:rPr>
    </w:lvl>
    <w:lvl w:ilvl="4" w:tplc="04180003" w:tentative="1">
      <w:start w:val="1"/>
      <w:numFmt w:val="bullet"/>
      <w:lvlText w:val="o"/>
      <w:lvlJc w:val="left"/>
      <w:pPr>
        <w:ind w:left="3942" w:hanging="360"/>
      </w:pPr>
      <w:rPr>
        <w:rFonts w:ascii="Courier New" w:hAnsi="Courier New" w:cs="Courier New" w:hint="default"/>
      </w:rPr>
    </w:lvl>
    <w:lvl w:ilvl="5" w:tplc="04180005" w:tentative="1">
      <w:start w:val="1"/>
      <w:numFmt w:val="bullet"/>
      <w:lvlText w:val=""/>
      <w:lvlJc w:val="left"/>
      <w:pPr>
        <w:ind w:left="4662" w:hanging="360"/>
      </w:pPr>
      <w:rPr>
        <w:rFonts w:ascii="Wingdings" w:hAnsi="Wingdings" w:hint="default"/>
      </w:rPr>
    </w:lvl>
    <w:lvl w:ilvl="6" w:tplc="04180001" w:tentative="1">
      <w:start w:val="1"/>
      <w:numFmt w:val="bullet"/>
      <w:lvlText w:val=""/>
      <w:lvlJc w:val="left"/>
      <w:pPr>
        <w:ind w:left="5382" w:hanging="360"/>
      </w:pPr>
      <w:rPr>
        <w:rFonts w:ascii="Symbol" w:hAnsi="Symbol" w:hint="default"/>
      </w:rPr>
    </w:lvl>
    <w:lvl w:ilvl="7" w:tplc="04180003" w:tentative="1">
      <w:start w:val="1"/>
      <w:numFmt w:val="bullet"/>
      <w:lvlText w:val="o"/>
      <w:lvlJc w:val="left"/>
      <w:pPr>
        <w:ind w:left="6102" w:hanging="360"/>
      </w:pPr>
      <w:rPr>
        <w:rFonts w:ascii="Courier New" w:hAnsi="Courier New" w:cs="Courier New" w:hint="default"/>
      </w:rPr>
    </w:lvl>
    <w:lvl w:ilvl="8" w:tplc="04180005" w:tentative="1">
      <w:start w:val="1"/>
      <w:numFmt w:val="bullet"/>
      <w:lvlText w:val=""/>
      <w:lvlJc w:val="left"/>
      <w:pPr>
        <w:ind w:left="6822" w:hanging="360"/>
      </w:pPr>
      <w:rPr>
        <w:rFonts w:ascii="Wingdings" w:hAnsi="Wingdings" w:hint="default"/>
      </w:rPr>
    </w:lvl>
  </w:abstractNum>
  <w:abstractNum w:abstractNumId="32" w15:restartNumberingAfterBreak="0">
    <w:nsid w:val="731005A4"/>
    <w:multiLevelType w:val="hybridMultilevel"/>
    <w:tmpl w:val="EB248D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6FF680D"/>
    <w:multiLevelType w:val="hybridMultilevel"/>
    <w:tmpl w:val="6010CC1E"/>
    <w:lvl w:ilvl="0" w:tplc="675A60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7F5321A"/>
    <w:multiLevelType w:val="hybridMultilevel"/>
    <w:tmpl w:val="7A883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2"/>
  </w:num>
  <w:num w:numId="4">
    <w:abstractNumId w:val="15"/>
  </w:num>
  <w:num w:numId="5">
    <w:abstractNumId w:val="9"/>
  </w:num>
  <w:num w:numId="6">
    <w:abstractNumId w:val="30"/>
  </w:num>
  <w:num w:numId="7">
    <w:abstractNumId w:val="26"/>
  </w:num>
  <w:num w:numId="8">
    <w:abstractNumId w:val="11"/>
  </w:num>
  <w:num w:numId="9">
    <w:abstractNumId w:val="21"/>
  </w:num>
  <w:num w:numId="10">
    <w:abstractNumId w:val="28"/>
  </w:num>
  <w:num w:numId="11">
    <w:abstractNumId w:val="7"/>
  </w:num>
  <w:num w:numId="12">
    <w:abstractNumId w:val="12"/>
  </w:num>
  <w:num w:numId="13">
    <w:abstractNumId w:val="5"/>
  </w:num>
  <w:num w:numId="14">
    <w:abstractNumId w:val="8"/>
  </w:num>
  <w:num w:numId="15">
    <w:abstractNumId w:val="25"/>
  </w:num>
  <w:num w:numId="16">
    <w:abstractNumId w:val="33"/>
  </w:num>
  <w:num w:numId="17">
    <w:abstractNumId w:val="3"/>
  </w:num>
  <w:num w:numId="18">
    <w:abstractNumId w:val="17"/>
  </w:num>
  <w:num w:numId="19">
    <w:abstractNumId w:val="10"/>
  </w:num>
  <w:num w:numId="20">
    <w:abstractNumId w:val="16"/>
  </w:num>
  <w:num w:numId="21">
    <w:abstractNumId w:val="31"/>
  </w:num>
  <w:num w:numId="22">
    <w:abstractNumId w:val="18"/>
  </w:num>
  <w:num w:numId="23">
    <w:abstractNumId w:val="0"/>
  </w:num>
  <w:num w:numId="24">
    <w:abstractNumId w:val="24"/>
  </w:num>
  <w:num w:numId="25">
    <w:abstractNumId w:val="34"/>
  </w:num>
  <w:num w:numId="26">
    <w:abstractNumId w:val="23"/>
  </w:num>
  <w:num w:numId="27">
    <w:abstractNumId w:val="1"/>
  </w:num>
  <w:num w:numId="28">
    <w:abstractNumId w:val="32"/>
  </w:num>
  <w:num w:numId="29">
    <w:abstractNumId w:val="13"/>
  </w:num>
  <w:num w:numId="30">
    <w:abstractNumId w:val="6"/>
  </w:num>
  <w:num w:numId="31">
    <w:abstractNumId w:val="27"/>
  </w:num>
  <w:num w:numId="32">
    <w:abstractNumId w:val="29"/>
  </w:num>
  <w:num w:numId="33">
    <w:abstractNumId w:val="4"/>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4BC"/>
    <w:rsid w:val="00001404"/>
    <w:rsid w:val="00001E53"/>
    <w:rsid w:val="00002D25"/>
    <w:rsid w:val="000065C4"/>
    <w:rsid w:val="000075BD"/>
    <w:rsid w:val="00007698"/>
    <w:rsid w:val="00014BA5"/>
    <w:rsid w:val="00017AD6"/>
    <w:rsid w:val="00020027"/>
    <w:rsid w:val="000206BD"/>
    <w:rsid w:val="00033CE2"/>
    <w:rsid w:val="000361FE"/>
    <w:rsid w:val="000369D5"/>
    <w:rsid w:val="00040AA2"/>
    <w:rsid w:val="000428F4"/>
    <w:rsid w:val="0004549D"/>
    <w:rsid w:val="000454A5"/>
    <w:rsid w:val="000467BA"/>
    <w:rsid w:val="00051F09"/>
    <w:rsid w:val="00052671"/>
    <w:rsid w:val="00053255"/>
    <w:rsid w:val="000577FF"/>
    <w:rsid w:val="00060928"/>
    <w:rsid w:val="0006113D"/>
    <w:rsid w:val="00062BF8"/>
    <w:rsid w:val="000630D9"/>
    <w:rsid w:val="0006417F"/>
    <w:rsid w:val="00066990"/>
    <w:rsid w:val="00067E81"/>
    <w:rsid w:val="0007545B"/>
    <w:rsid w:val="00080D07"/>
    <w:rsid w:val="00081CB6"/>
    <w:rsid w:val="000837D6"/>
    <w:rsid w:val="0008452B"/>
    <w:rsid w:val="00090519"/>
    <w:rsid w:val="0009195F"/>
    <w:rsid w:val="000920A8"/>
    <w:rsid w:val="0009410A"/>
    <w:rsid w:val="00095E8E"/>
    <w:rsid w:val="000A5202"/>
    <w:rsid w:val="000A5D69"/>
    <w:rsid w:val="000A6F68"/>
    <w:rsid w:val="000A7F72"/>
    <w:rsid w:val="000B4025"/>
    <w:rsid w:val="000B66B3"/>
    <w:rsid w:val="000C1E3E"/>
    <w:rsid w:val="000C258E"/>
    <w:rsid w:val="000D4186"/>
    <w:rsid w:val="000D4B74"/>
    <w:rsid w:val="000E2275"/>
    <w:rsid w:val="000E267C"/>
    <w:rsid w:val="000E3A3C"/>
    <w:rsid w:val="000E3D50"/>
    <w:rsid w:val="000E4141"/>
    <w:rsid w:val="000E4B6F"/>
    <w:rsid w:val="000E6DC5"/>
    <w:rsid w:val="000F08DE"/>
    <w:rsid w:val="000F1777"/>
    <w:rsid w:val="000F3393"/>
    <w:rsid w:val="000F5A8F"/>
    <w:rsid w:val="000F71EC"/>
    <w:rsid w:val="00101B10"/>
    <w:rsid w:val="001032D0"/>
    <w:rsid w:val="00103519"/>
    <w:rsid w:val="00103A2F"/>
    <w:rsid w:val="0010435F"/>
    <w:rsid w:val="001044BC"/>
    <w:rsid w:val="001051F2"/>
    <w:rsid w:val="00105A21"/>
    <w:rsid w:val="001075BD"/>
    <w:rsid w:val="001136F9"/>
    <w:rsid w:val="00114394"/>
    <w:rsid w:val="00115571"/>
    <w:rsid w:val="001158B8"/>
    <w:rsid w:val="00116970"/>
    <w:rsid w:val="001171E5"/>
    <w:rsid w:val="0011754A"/>
    <w:rsid w:val="00117ED9"/>
    <w:rsid w:val="00120706"/>
    <w:rsid w:val="00123A30"/>
    <w:rsid w:val="001251D4"/>
    <w:rsid w:val="00127E0E"/>
    <w:rsid w:val="001318D4"/>
    <w:rsid w:val="00132D6B"/>
    <w:rsid w:val="001348CB"/>
    <w:rsid w:val="00136311"/>
    <w:rsid w:val="00137C4E"/>
    <w:rsid w:val="0014052A"/>
    <w:rsid w:val="00140A77"/>
    <w:rsid w:val="001418C2"/>
    <w:rsid w:val="00144931"/>
    <w:rsid w:val="001468E2"/>
    <w:rsid w:val="001505BC"/>
    <w:rsid w:val="001517A8"/>
    <w:rsid w:val="001520A3"/>
    <w:rsid w:val="00152FAD"/>
    <w:rsid w:val="00157502"/>
    <w:rsid w:val="001647E8"/>
    <w:rsid w:val="00165DBE"/>
    <w:rsid w:val="001708BA"/>
    <w:rsid w:val="00173A5A"/>
    <w:rsid w:val="00176047"/>
    <w:rsid w:val="0017706D"/>
    <w:rsid w:val="0018091E"/>
    <w:rsid w:val="00181808"/>
    <w:rsid w:val="0018286D"/>
    <w:rsid w:val="00183CE3"/>
    <w:rsid w:val="00185194"/>
    <w:rsid w:val="00185694"/>
    <w:rsid w:val="0018740B"/>
    <w:rsid w:val="001900F0"/>
    <w:rsid w:val="00190FFF"/>
    <w:rsid w:val="00192814"/>
    <w:rsid w:val="00192A50"/>
    <w:rsid w:val="0019637C"/>
    <w:rsid w:val="001A0D3B"/>
    <w:rsid w:val="001A29CC"/>
    <w:rsid w:val="001A3E1F"/>
    <w:rsid w:val="001A4A1D"/>
    <w:rsid w:val="001A701F"/>
    <w:rsid w:val="001B0964"/>
    <w:rsid w:val="001B2AC6"/>
    <w:rsid w:val="001B2DD3"/>
    <w:rsid w:val="001B3FB3"/>
    <w:rsid w:val="001B5999"/>
    <w:rsid w:val="001B677F"/>
    <w:rsid w:val="001B6856"/>
    <w:rsid w:val="001C48B0"/>
    <w:rsid w:val="001C492D"/>
    <w:rsid w:val="001D1B3B"/>
    <w:rsid w:val="001D3BD9"/>
    <w:rsid w:val="001D69C8"/>
    <w:rsid w:val="001E31F5"/>
    <w:rsid w:val="001E74E5"/>
    <w:rsid w:val="001F0639"/>
    <w:rsid w:val="001F13FA"/>
    <w:rsid w:val="001F360D"/>
    <w:rsid w:val="001F5ADF"/>
    <w:rsid w:val="0020004C"/>
    <w:rsid w:val="00207F74"/>
    <w:rsid w:val="002145A2"/>
    <w:rsid w:val="002148A8"/>
    <w:rsid w:val="00215A2C"/>
    <w:rsid w:val="00217960"/>
    <w:rsid w:val="00221101"/>
    <w:rsid w:val="00222F8A"/>
    <w:rsid w:val="00223BA4"/>
    <w:rsid w:val="00223ECE"/>
    <w:rsid w:val="00225493"/>
    <w:rsid w:val="0022736E"/>
    <w:rsid w:val="00230724"/>
    <w:rsid w:val="00231DB5"/>
    <w:rsid w:val="00233A2E"/>
    <w:rsid w:val="002344E0"/>
    <w:rsid w:val="00236B7C"/>
    <w:rsid w:val="0023780B"/>
    <w:rsid w:val="00241A03"/>
    <w:rsid w:val="002435B1"/>
    <w:rsid w:val="002435DF"/>
    <w:rsid w:val="00245C5E"/>
    <w:rsid w:val="002460AE"/>
    <w:rsid w:val="002503FD"/>
    <w:rsid w:val="00250ACA"/>
    <w:rsid w:val="00250B1D"/>
    <w:rsid w:val="00250C8C"/>
    <w:rsid w:val="00251E1A"/>
    <w:rsid w:val="00252D52"/>
    <w:rsid w:val="00252D9F"/>
    <w:rsid w:val="0025489D"/>
    <w:rsid w:val="00255C2D"/>
    <w:rsid w:val="00262782"/>
    <w:rsid w:val="002706E2"/>
    <w:rsid w:val="00271E4B"/>
    <w:rsid w:val="00272F11"/>
    <w:rsid w:val="00273C27"/>
    <w:rsid w:val="00274282"/>
    <w:rsid w:val="00275D75"/>
    <w:rsid w:val="00282883"/>
    <w:rsid w:val="00282BF0"/>
    <w:rsid w:val="002830B6"/>
    <w:rsid w:val="00287317"/>
    <w:rsid w:val="00290378"/>
    <w:rsid w:val="00292AED"/>
    <w:rsid w:val="002951E7"/>
    <w:rsid w:val="002A0CE0"/>
    <w:rsid w:val="002A0EA7"/>
    <w:rsid w:val="002A26BA"/>
    <w:rsid w:val="002A40BC"/>
    <w:rsid w:val="002A6305"/>
    <w:rsid w:val="002B0692"/>
    <w:rsid w:val="002B0E58"/>
    <w:rsid w:val="002B2A34"/>
    <w:rsid w:val="002B309E"/>
    <w:rsid w:val="002B53D7"/>
    <w:rsid w:val="002C2015"/>
    <w:rsid w:val="002C21CE"/>
    <w:rsid w:val="002C42EF"/>
    <w:rsid w:val="002C4C50"/>
    <w:rsid w:val="002C5675"/>
    <w:rsid w:val="002C73C8"/>
    <w:rsid w:val="002D09C2"/>
    <w:rsid w:val="002D306E"/>
    <w:rsid w:val="002D359B"/>
    <w:rsid w:val="002E1324"/>
    <w:rsid w:val="002E33F7"/>
    <w:rsid w:val="002E3843"/>
    <w:rsid w:val="002E7601"/>
    <w:rsid w:val="002F01E6"/>
    <w:rsid w:val="002F1A49"/>
    <w:rsid w:val="002F25EA"/>
    <w:rsid w:val="002F2B99"/>
    <w:rsid w:val="002F3DFA"/>
    <w:rsid w:val="002F4BD3"/>
    <w:rsid w:val="002F4F04"/>
    <w:rsid w:val="002F5875"/>
    <w:rsid w:val="002F5926"/>
    <w:rsid w:val="002F68C7"/>
    <w:rsid w:val="002F74DC"/>
    <w:rsid w:val="003020E0"/>
    <w:rsid w:val="00302A6F"/>
    <w:rsid w:val="0030583C"/>
    <w:rsid w:val="00306412"/>
    <w:rsid w:val="00306610"/>
    <w:rsid w:val="00310082"/>
    <w:rsid w:val="00310D11"/>
    <w:rsid w:val="0031290A"/>
    <w:rsid w:val="00316399"/>
    <w:rsid w:val="00320599"/>
    <w:rsid w:val="00324949"/>
    <w:rsid w:val="00327D82"/>
    <w:rsid w:val="00330085"/>
    <w:rsid w:val="00332463"/>
    <w:rsid w:val="0033488B"/>
    <w:rsid w:val="00334B52"/>
    <w:rsid w:val="00334CDB"/>
    <w:rsid w:val="003361ED"/>
    <w:rsid w:val="00336553"/>
    <w:rsid w:val="0033761A"/>
    <w:rsid w:val="00340890"/>
    <w:rsid w:val="00341ACD"/>
    <w:rsid w:val="00352130"/>
    <w:rsid w:val="003551CB"/>
    <w:rsid w:val="003571A6"/>
    <w:rsid w:val="00362E94"/>
    <w:rsid w:val="00364CB9"/>
    <w:rsid w:val="0036542F"/>
    <w:rsid w:val="003658CA"/>
    <w:rsid w:val="003664EE"/>
    <w:rsid w:val="0036785B"/>
    <w:rsid w:val="00373979"/>
    <w:rsid w:val="00377B72"/>
    <w:rsid w:val="00396A28"/>
    <w:rsid w:val="003A22E9"/>
    <w:rsid w:val="003A297F"/>
    <w:rsid w:val="003A462A"/>
    <w:rsid w:val="003A6AF0"/>
    <w:rsid w:val="003B1244"/>
    <w:rsid w:val="003B6CB2"/>
    <w:rsid w:val="003B79E1"/>
    <w:rsid w:val="003D2100"/>
    <w:rsid w:val="003D7B09"/>
    <w:rsid w:val="003E1170"/>
    <w:rsid w:val="003E11F0"/>
    <w:rsid w:val="003E3036"/>
    <w:rsid w:val="003E52AB"/>
    <w:rsid w:val="003E69F6"/>
    <w:rsid w:val="003F0266"/>
    <w:rsid w:val="003F0B93"/>
    <w:rsid w:val="003F112B"/>
    <w:rsid w:val="003F4604"/>
    <w:rsid w:val="003F5272"/>
    <w:rsid w:val="003F6010"/>
    <w:rsid w:val="004012A2"/>
    <w:rsid w:val="00405199"/>
    <w:rsid w:val="00414154"/>
    <w:rsid w:val="00414C6F"/>
    <w:rsid w:val="004167DA"/>
    <w:rsid w:val="00423C5A"/>
    <w:rsid w:val="00425115"/>
    <w:rsid w:val="004273CF"/>
    <w:rsid w:val="00436A1E"/>
    <w:rsid w:val="0043726A"/>
    <w:rsid w:val="004463FB"/>
    <w:rsid w:val="00447AAD"/>
    <w:rsid w:val="00452BAF"/>
    <w:rsid w:val="0045362C"/>
    <w:rsid w:val="004561B8"/>
    <w:rsid w:val="00456767"/>
    <w:rsid w:val="00457748"/>
    <w:rsid w:val="00457EA5"/>
    <w:rsid w:val="0046178E"/>
    <w:rsid w:val="00462B69"/>
    <w:rsid w:val="00467BAD"/>
    <w:rsid w:val="00471974"/>
    <w:rsid w:val="004732C6"/>
    <w:rsid w:val="0047603D"/>
    <w:rsid w:val="00481BBC"/>
    <w:rsid w:val="004842A8"/>
    <w:rsid w:val="004846FD"/>
    <w:rsid w:val="00487537"/>
    <w:rsid w:val="004935A6"/>
    <w:rsid w:val="004A03A6"/>
    <w:rsid w:val="004A1300"/>
    <w:rsid w:val="004A1DBC"/>
    <w:rsid w:val="004A3E4B"/>
    <w:rsid w:val="004B122D"/>
    <w:rsid w:val="004B2002"/>
    <w:rsid w:val="004B6145"/>
    <w:rsid w:val="004B62A3"/>
    <w:rsid w:val="004B62F8"/>
    <w:rsid w:val="004B689A"/>
    <w:rsid w:val="004B791D"/>
    <w:rsid w:val="004C72A0"/>
    <w:rsid w:val="004D05AF"/>
    <w:rsid w:val="004D0656"/>
    <w:rsid w:val="004D1B6D"/>
    <w:rsid w:val="004D1E45"/>
    <w:rsid w:val="004D7950"/>
    <w:rsid w:val="004E0CED"/>
    <w:rsid w:val="004E2CE5"/>
    <w:rsid w:val="004E58A2"/>
    <w:rsid w:val="004E6590"/>
    <w:rsid w:val="004F17B4"/>
    <w:rsid w:val="004F1DC5"/>
    <w:rsid w:val="004F26D8"/>
    <w:rsid w:val="004F67AB"/>
    <w:rsid w:val="0050104C"/>
    <w:rsid w:val="00504944"/>
    <w:rsid w:val="00507610"/>
    <w:rsid w:val="005111A7"/>
    <w:rsid w:val="005128B5"/>
    <w:rsid w:val="00514103"/>
    <w:rsid w:val="005172B0"/>
    <w:rsid w:val="005174B8"/>
    <w:rsid w:val="00521A69"/>
    <w:rsid w:val="0052394D"/>
    <w:rsid w:val="00524BC0"/>
    <w:rsid w:val="00525FA8"/>
    <w:rsid w:val="00533E58"/>
    <w:rsid w:val="00541061"/>
    <w:rsid w:val="0054217E"/>
    <w:rsid w:val="005467DC"/>
    <w:rsid w:val="00547AED"/>
    <w:rsid w:val="00554616"/>
    <w:rsid w:val="005664DB"/>
    <w:rsid w:val="00567E32"/>
    <w:rsid w:val="00577610"/>
    <w:rsid w:val="00583111"/>
    <w:rsid w:val="00583CFA"/>
    <w:rsid w:val="00595C60"/>
    <w:rsid w:val="0059665A"/>
    <w:rsid w:val="005A0E90"/>
    <w:rsid w:val="005A10B2"/>
    <w:rsid w:val="005A31FD"/>
    <w:rsid w:val="005A3DD0"/>
    <w:rsid w:val="005A4185"/>
    <w:rsid w:val="005A4A07"/>
    <w:rsid w:val="005B2767"/>
    <w:rsid w:val="005C1999"/>
    <w:rsid w:val="005C1EDA"/>
    <w:rsid w:val="005D04A0"/>
    <w:rsid w:val="005D5788"/>
    <w:rsid w:val="005D709F"/>
    <w:rsid w:val="005E6DB7"/>
    <w:rsid w:val="005E7F03"/>
    <w:rsid w:val="005F26E6"/>
    <w:rsid w:val="005F3E97"/>
    <w:rsid w:val="005F7392"/>
    <w:rsid w:val="00603F0B"/>
    <w:rsid w:val="0061034F"/>
    <w:rsid w:val="0061185F"/>
    <w:rsid w:val="00613945"/>
    <w:rsid w:val="00614499"/>
    <w:rsid w:val="0062206F"/>
    <w:rsid w:val="00626D60"/>
    <w:rsid w:val="00631171"/>
    <w:rsid w:val="00633375"/>
    <w:rsid w:val="00633BDD"/>
    <w:rsid w:val="00633FB5"/>
    <w:rsid w:val="00636322"/>
    <w:rsid w:val="00637D52"/>
    <w:rsid w:val="0064208C"/>
    <w:rsid w:val="00645AB8"/>
    <w:rsid w:val="006501A0"/>
    <w:rsid w:val="0065068B"/>
    <w:rsid w:val="006507C1"/>
    <w:rsid w:val="006523E3"/>
    <w:rsid w:val="0065329C"/>
    <w:rsid w:val="00655BC4"/>
    <w:rsid w:val="00655D67"/>
    <w:rsid w:val="00657BB7"/>
    <w:rsid w:val="00662775"/>
    <w:rsid w:val="00667BC6"/>
    <w:rsid w:val="00667E6A"/>
    <w:rsid w:val="00673390"/>
    <w:rsid w:val="00674F07"/>
    <w:rsid w:val="00676C6F"/>
    <w:rsid w:val="00677CBD"/>
    <w:rsid w:val="006809BB"/>
    <w:rsid w:val="00681CB5"/>
    <w:rsid w:val="00682A3C"/>
    <w:rsid w:val="00690B54"/>
    <w:rsid w:val="00693F49"/>
    <w:rsid w:val="00694AAB"/>
    <w:rsid w:val="006950DF"/>
    <w:rsid w:val="0069618C"/>
    <w:rsid w:val="00697287"/>
    <w:rsid w:val="006A5751"/>
    <w:rsid w:val="006A5AD3"/>
    <w:rsid w:val="006A71C5"/>
    <w:rsid w:val="006A7885"/>
    <w:rsid w:val="006B33C5"/>
    <w:rsid w:val="006B48B5"/>
    <w:rsid w:val="006C266A"/>
    <w:rsid w:val="006C4802"/>
    <w:rsid w:val="006C4B03"/>
    <w:rsid w:val="006C5C98"/>
    <w:rsid w:val="006C5EB8"/>
    <w:rsid w:val="006D0FDA"/>
    <w:rsid w:val="006D4FC7"/>
    <w:rsid w:val="006E00E4"/>
    <w:rsid w:val="006E0783"/>
    <w:rsid w:val="006E2380"/>
    <w:rsid w:val="006E2CEF"/>
    <w:rsid w:val="006E4A51"/>
    <w:rsid w:val="006E709B"/>
    <w:rsid w:val="006E7D9D"/>
    <w:rsid w:val="006F1538"/>
    <w:rsid w:val="006F1932"/>
    <w:rsid w:val="006F2BC9"/>
    <w:rsid w:val="006F32C0"/>
    <w:rsid w:val="006F416B"/>
    <w:rsid w:val="006F51AB"/>
    <w:rsid w:val="006F5B24"/>
    <w:rsid w:val="007032D3"/>
    <w:rsid w:val="007048BA"/>
    <w:rsid w:val="0070628D"/>
    <w:rsid w:val="00707211"/>
    <w:rsid w:val="00707BB3"/>
    <w:rsid w:val="00713136"/>
    <w:rsid w:val="007202C8"/>
    <w:rsid w:val="00721ED6"/>
    <w:rsid w:val="00722250"/>
    <w:rsid w:val="00723F4A"/>
    <w:rsid w:val="00724BDE"/>
    <w:rsid w:val="0073290B"/>
    <w:rsid w:val="00733402"/>
    <w:rsid w:val="00733849"/>
    <w:rsid w:val="00741D3E"/>
    <w:rsid w:val="00741EEF"/>
    <w:rsid w:val="007434A9"/>
    <w:rsid w:val="0074600A"/>
    <w:rsid w:val="00750D68"/>
    <w:rsid w:val="00753F06"/>
    <w:rsid w:val="00754A88"/>
    <w:rsid w:val="00755263"/>
    <w:rsid w:val="00757610"/>
    <w:rsid w:val="0075797F"/>
    <w:rsid w:val="00761ECA"/>
    <w:rsid w:val="00763CE7"/>
    <w:rsid w:val="00763FC4"/>
    <w:rsid w:val="0076424E"/>
    <w:rsid w:val="00767AB1"/>
    <w:rsid w:val="00770103"/>
    <w:rsid w:val="00771F04"/>
    <w:rsid w:val="0077355C"/>
    <w:rsid w:val="00776F71"/>
    <w:rsid w:val="0077722F"/>
    <w:rsid w:val="0078318D"/>
    <w:rsid w:val="007834E1"/>
    <w:rsid w:val="007836D9"/>
    <w:rsid w:val="00784590"/>
    <w:rsid w:val="0078783E"/>
    <w:rsid w:val="007904DA"/>
    <w:rsid w:val="00793E83"/>
    <w:rsid w:val="007A1610"/>
    <w:rsid w:val="007A28DC"/>
    <w:rsid w:val="007A5452"/>
    <w:rsid w:val="007A6601"/>
    <w:rsid w:val="007A74DA"/>
    <w:rsid w:val="007B2897"/>
    <w:rsid w:val="007B317A"/>
    <w:rsid w:val="007B4C74"/>
    <w:rsid w:val="007B514F"/>
    <w:rsid w:val="007C1AD7"/>
    <w:rsid w:val="007C2513"/>
    <w:rsid w:val="007C7376"/>
    <w:rsid w:val="007D070E"/>
    <w:rsid w:val="007D3E7A"/>
    <w:rsid w:val="007E2A9E"/>
    <w:rsid w:val="007E5F02"/>
    <w:rsid w:val="007E6610"/>
    <w:rsid w:val="007E7A59"/>
    <w:rsid w:val="007F05DA"/>
    <w:rsid w:val="007F105C"/>
    <w:rsid w:val="007F2363"/>
    <w:rsid w:val="007F23E6"/>
    <w:rsid w:val="007F4F98"/>
    <w:rsid w:val="007F6710"/>
    <w:rsid w:val="0080002F"/>
    <w:rsid w:val="00801E29"/>
    <w:rsid w:val="008028E7"/>
    <w:rsid w:val="0080334C"/>
    <w:rsid w:val="00803400"/>
    <w:rsid w:val="0080422E"/>
    <w:rsid w:val="008052A1"/>
    <w:rsid w:val="0080567F"/>
    <w:rsid w:val="008059EB"/>
    <w:rsid w:val="0080637E"/>
    <w:rsid w:val="00807190"/>
    <w:rsid w:val="00807A93"/>
    <w:rsid w:val="00811CDC"/>
    <w:rsid w:val="00817283"/>
    <w:rsid w:val="0082224F"/>
    <w:rsid w:val="00823853"/>
    <w:rsid w:val="00824B65"/>
    <w:rsid w:val="008267A2"/>
    <w:rsid w:val="008304F0"/>
    <w:rsid w:val="00831AFE"/>
    <w:rsid w:val="008321F8"/>
    <w:rsid w:val="00833EAF"/>
    <w:rsid w:val="008361A4"/>
    <w:rsid w:val="00840B42"/>
    <w:rsid w:val="00843AB8"/>
    <w:rsid w:val="00847775"/>
    <w:rsid w:val="00850621"/>
    <w:rsid w:val="008509E7"/>
    <w:rsid w:val="008509FE"/>
    <w:rsid w:val="0085133B"/>
    <w:rsid w:val="00851903"/>
    <w:rsid w:val="008605CB"/>
    <w:rsid w:val="00860E59"/>
    <w:rsid w:val="00863736"/>
    <w:rsid w:val="00863C61"/>
    <w:rsid w:val="00863DEA"/>
    <w:rsid w:val="00870D03"/>
    <w:rsid w:val="00870EB3"/>
    <w:rsid w:val="00872FF2"/>
    <w:rsid w:val="00875B5F"/>
    <w:rsid w:val="008801A7"/>
    <w:rsid w:val="008804F6"/>
    <w:rsid w:val="00880B1A"/>
    <w:rsid w:val="00882DAA"/>
    <w:rsid w:val="008871FB"/>
    <w:rsid w:val="0089107B"/>
    <w:rsid w:val="008929C6"/>
    <w:rsid w:val="00896793"/>
    <w:rsid w:val="0089762B"/>
    <w:rsid w:val="00897C36"/>
    <w:rsid w:val="008A11E9"/>
    <w:rsid w:val="008A190B"/>
    <w:rsid w:val="008A5CF1"/>
    <w:rsid w:val="008A5D0A"/>
    <w:rsid w:val="008A6294"/>
    <w:rsid w:val="008A7396"/>
    <w:rsid w:val="008A7BFF"/>
    <w:rsid w:val="008B34DD"/>
    <w:rsid w:val="008B5B83"/>
    <w:rsid w:val="008B6164"/>
    <w:rsid w:val="008B62AB"/>
    <w:rsid w:val="008B6D27"/>
    <w:rsid w:val="008C1657"/>
    <w:rsid w:val="008C20BC"/>
    <w:rsid w:val="008C23E2"/>
    <w:rsid w:val="008C2C63"/>
    <w:rsid w:val="008C7BDE"/>
    <w:rsid w:val="008D0CEC"/>
    <w:rsid w:val="008D541A"/>
    <w:rsid w:val="008D7895"/>
    <w:rsid w:val="008E2349"/>
    <w:rsid w:val="008E2614"/>
    <w:rsid w:val="008E2FD5"/>
    <w:rsid w:val="008E5DF0"/>
    <w:rsid w:val="008F30CA"/>
    <w:rsid w:val="008F3258"/>
    <w:rsid w:val="008F4A82"/>
    <w:rsid w:val="008F564C"/>
    <w:rsid w:val="008F7492"/>
    <w:rsid w:val="00902D1C"/>
    <w:rsid w:val="00906497"/>
    <w:rsid w:val="009119AC"/>
    <w:rsid w:val="00911EA1"/>
    <w:rsid w:val="009170D4"/>
    <w:rsid w:val="009211DD"/>
    <w:rsid w:val="00922D11"/>
    <w:rsid w:val="00923F12"/>
    <w:rsid w:val="009343B7"/>
    <w:rsid w:val="00935C79"/>
    <w:rsid w:val="0094253D"/>
    <w:rsid w:val="00943984"/>
    <w:rsid w:val="00944490"/>
    <w:rsid w:val="009444C9"/>
    <w:rsid w:val="00946894"/>
    <w:rsid w:val="009508E7"/>
    <w:rsid w:val="009518C4"/>
    <w:rsid w:val="00952268"/>
    <w:rsid w:val="00953706"/>
    <w:rsid w:val="00957EB2"/>
    <w:rsid w:val="009617C0"/>
    <w:rsid w:val="00962F32"/>
    <w:rsid w:val="00965777"/>
    <w:rsid w:val="0097134F"/>
    <w:rsid w:val="00972895"/>
    <w:rsid w:val="00976CEE"/>
    <w:rsid w:val="00977332"/>
    <w:rsid w:val="0098030F"/>
    <w:rsid w:val="009817FE"/>
    <w:rsid w:val="00981C79"/>
    <w:rsid w:val="00984AEA"/>
    <w:rsid w:val="009852EE"/>
    <w:rsid w:val="00986BE6"/>
    <w:rsid w:val="00987B71"/>
    <w:rsid w:val="00990359"/>
    <w:rsid w:val="00993349"/>
    <w:rsid w:val="00996FA3"/>
    <w:rsid w:val="009A6959"/>
    <w:rsid w:val="009B0483"/>
    <w:rsid w:val="009B1716"/>
    <w:rsid w:val="009B4932"/>
    <w:rsid w:val="009B7F8C"/>
    <w:rsid w:val="009C0069"/>
    <w:rsid w:val="009C0465"/>
    <w:rsid w:val="009C0A53"/>
    <w:rsid w:val="009C1686"/>
    <w:rsid w:val="009C4072"/>
    <w:rsid w:val="009D4A1F"/>
    <w:rsid w:val="009D5228"/>
    <w:rsid w:val="009D54F4"/>
    <w:rsid w:val="009D6FBE"/>
    <w:rsid w:val="009E04BC"/>
    <w:rsid w:val="009E1414"/>
    <w:rsid w:val="009E1F21"/>
    <w:rsid w:val="009E2E8E"/>
    <w:rsid w:val="009E6306"/>
    <w:rsid w:val="009F0913"/>
    <w:rsid w:val="009F0C10"/>
    <w:rsid w:val="009F1570"/>
    <w:rsid w:val="009F328A"/>
    <w:rsid w:val="009F4E66"/>
    <w:rsid w:val="009F4F61"/>
    <w:rsid w:val="009F65A4"/>
    <w:rsid w:val="009F6E1B"/>
    <w:rsid w:val="00A00345"/>
    <w:rsid w:val="00A01D9F"/>
    <w:rsid w:val="00A0323A"/>
    <w:rsid w:val="00A06AB4"/>
    <w:rsid w:val="00A10CE1"/>
    <w:rsid w:val="00A10E71"/>
    <w:rsid w:val="00A10EE9"/>
    <w:rsid w:val="00A11733"/>
    <w:rsid w:val="00A128F8"/>
    <w:rsid w:val="00A12F08"/>
    <w:rsid w:val="00A1686C"/>
    <w:rsid w:val="00A17F68"/>
    <w:rsid w:val="00A25545"/>
    <w:rsid w:val="00A27FD8"/>
    <w:rsid w:val="00A32C99"/>
    <w:rsid w:val="00A33F4A"/>
    <w:rsid w:val="00A34AE0"/>
    <w:rsid w:val="00A417EB"/>
    <w:rsid w:val="00A41BA5"/>
    <w:rsid w:val="00A43E2E"/>
    <w:rsid w:val="00A44A32"/>
    <w:rsid w:val="00A46A1F"/>
    <w:rsid w:val="00A46ECC"/>
    <w:rsid w:val="00A47C27"/>
    <w:rsid w:val="00A504E9"/>
    <w:rsid w:val="00A50A4B"/>
    <w:rsid w:val="00A561CC"/>
    <w:rsid w:val="00A56DA7"/>
    <w:rsid w:val="00A66659"/>
    <w:rsid w:val="00A67CA3"/>
    <w:rsid w:val="00A71393"/>
    <w:rsid w:val="00A7179D"/>
    <w:rsid w:val="00A72B26"/>
    <w:rsid w:val="00A744EF"/>
    <w:rsid w:val="00A76A06"/>
    <w:rsid w:val="00A76C55"/>
    <w:rsid w:val="00A76F8A"/>
    <w:rsid w:val="00A812E0"/>
    <w:rsid w:val="00A81DC4"/>
    <w:rsid w:val="00A911A3"/>
    <w:rsid w:val="00A924F1"/>
    <w:rsid w:val="00A92D12"/>
    <w:rsid w:val="00A94A6E"/>
    <w:rsid w:val="00A954D8"/>
    <w:rsid w:val="00AA13C7"/>
    <w:rsid w:val="00AA3866"/>
    <w:rsid w:val="00AA717A"/>
    <w:rsid w:val="00AA77B5"/>
    <w:rsid w:val="00AB1169"/>
    <w:rsid w:val="00AB1393"/>
    <w:rsid w:val="00AB28A6"/>
    <w:rsid w:val="00AB33A6"/>
    <w:rsid w:val="00AC2087"/>
    <w:rsid w:val="00AC216B"/>
    <w:rsid w:val="00AC362A"/>
    <w:rsid w:val="00AC60E1"/>
    <w:rsid w:val="00AC69C4"/>
    <w:rsid w:val="00AC72B8"/>
    <w:rsid w:val="00AD25D3"/>
    <w:rsid w:val="00AD31DC"/>
    <w:rsid w:val="00AD382E"/>
    <w:rsid w:val="00AD5EF0"/>
    <w:rsid w:val="00AD7F68"/>
    <w:rsid w:val="00AE3513"/>
    <w:rsid w:val="00AE4F69"/>
    <w:rsid w:val="00AE6F6C"/>
    <w:rsid w:val="00AE73F7"/>
    <w:rsid w:val="00AF3084"/>
    <w:rsid w:val="00AF3D3E"/>
    <w:rsid w:val="00AF40F1"/>
    <w:rsid w:val="00AF7146"/>
    <w:rsid w:val="00AF7C32"/>
    <w:rsid w:val="00B00665"/>
    <w:rsid w:val="00B03A6A"/>
    <w:rsid w:val="00B14672"/>
    <w:rsid w:val="00B15981"/>
    <w:rsid w:val="00B17765"/>
    <w:rsid w:val="00B17A67"/>
    <w:rsid w:val="00B2091C"/>
    <w:rsid w:val="00B219DF"/>
    <w:rsid w:val="00B224EF"/>
    <w:rsid w:val="00B22EAD"/>
    <w:rsid w:val="00B23387"/>
    <w:rsid w:val="00B24852"/>
    <w:rsid w:val="00B25C98"/>
    <w:rsid w:val="00B26DCC"/>
    <w:rsid w:val="00B308E5"/>
    <w:rsid w:val="00B32745"/>
    <w:rsid w:val="00B32EDA"/>
    <w:rsid w:val="00B32FD5"/>
    <w:rsid w:val="00B36399"/>
    <w:rsid w:val="00B402D3"/>
    <w:rsid w:val="00B412BB"/>
    <w:rsid w:val="00B43FF9"/>
    <w:rsid w:val="00B4449C"/>
    <w:rsid w:val="00B471DB"/>
    <w:rsid w:val="00B4772B"/>
    <w:rsid w:val="00B537D2"/>
    <w:rsid w:val="00B54E19"/>
    <w:rsid w:val="00B57E73"/>
    <w:rsid w:val="00B6038F"/>
    <w:rsid w:val="00B619FA"/>
    <w:rsid w:val="00B66A26"/>
    <w:rsid w:val="00B7045B"/>
    <w:rsid w:val="00B7496A"/>
    <w:rsid w:val="00B77853"/>
    <w:rsid w:val="00B80E61"/>
    <w:rsid w:val="00B8333E"/>
    <w:rsid w:val="00B83CED"/>
    <w:rsid w:val="00B86FA0"/>
    <w:rsid w:val="00B90535"/>
    <w:rsid w:val="00B90EEC"/>
    <w:rsid w:val="00B91746"/>
    <w:rsid w:val="00B93641"/>
    <w:rsid w:val="00B96232"/>
    <w:rsid w:val="00BA0919"/>
    <w:rsid w:val="00BA6994"/>
    <w:rsid w:val="00BA794A"/>
    <w:rsid w:val="00BB0636"/>
    <w:rsid w:val="00BB7229"/>
    <w:rsid w:val="00BB74E2"/>
    <w:rsid w:val="00BC138E"/>
    <w:rsid w:val="00BC4718"/>
    <w:rsid w:val="00BC4833"/>
    <w:rsid w:val="00BC6786"/>
    <w:rsid w:val="00BC733A"/>
    <w:rsid w:val="00BD1D61"/>
    <w:rsid w:val="00BD4C60"/>
    <w:rsid w:val="00BD6032"/>
    <w:rsid w:val="00BD6ABC"/>
    <w:rsid w:val="00BD71C0"/>
    <w:rsid w:val="00BD7947"/>
    <w:rsid w:val="00BE00DD"/>
    <w:rsid w:val="00BE0CCC"/>
    <w:rsid w:val="00BE211D"/>
    <w:rsid w:val="00BE42B2"/>
    <w:rsid w:val="00BE6F66"/>
    <w:rsid w:val="00BF3B9C"/>
    <w:rsid w:val="00BF52AF"/>
    <w:rsid w:val="00C026FE"/>
    <w:rsid w:val="00C03A6B"/>
    <w:rsid w:val="00C0413D"/>
    <w:rsid w:val="00C064BC"/>
    <w:rsid w:val="00C11854"/>
    <w:rsid w:val="00C16B42"/>
    <w:rsid w:val="00C21614"/>
    <w:rsid w:val="00C35DB2"/>
    <w:rsid w:val="00C3603D"/>
    <w:rsid w:val="00C361D7"/>
    <w:rsid w:val="00C439F7"/>
    <w:rsid w:val="00C45B2A"/>
    <w:rsid w:val="00C477D1"/>
    <w:rsid w:val="00C47B2F"/>
    <w:rsid w:val="00C56D9A"/>
    <w:rsid w:val="00C572BA"/>
    <w:rsid w:val="00C57666"/>
    <w:rsid w:val="00C635A5"/>
    <w:rsid w:val="00C63DB1"/>
    <w:rsid w:val="00C6784D"/>
    <w:rsid w:val="00C70FA9"/>
    <w:rsid w:val="00C72061"/>
    <w:rsid w:val="00C76B7B"/>
    <w:rsid w:val="00C76CB6"/>
    <w:rsid w:val="00C774FE"/>
    <w:rsid w:val="00C8098A"/>
    <w:rsid w:val="00C825EF"/>
    <w:rsid w:val="00C9124D"/>
    <w:rsid w:val="00C936D0"/>
    <w:rsid w:val="00C9507D"/>
    <w:rsid w:val="00C96D24"/>
    <w:rsid w:val="00CA05D5"/>
    <w:rsid w:val="00CA0D4B"/>
    <w:rsid w:val="00CA1642"/>
    <w:rsid w:val="00CA2348"/>
    <w:rsid w:val="00CA2654"/>
    <w:rsid w:val="00CA2750"/>
    <w:rsid w:val="00CA3F67"/>
    <w:rsid w:val="00CA5B38"/>
    <w:rsid w:val="00CA5BFA"/>
    <w:rsid w:val="00CA6BFC"/>
    <w:rsid w:val="00CB246D"/>
    <w:rsid w:val="00CB5A4C"/>
    <w:rsid w:val="00CB681D"/>
    <w:rsid w:val="00CB7330"/>
    <w:rsid w:val="00CC17A3"/>
    <w:rsid w:val="00CC2958"/>
    <w:rsid w:val="00CC3E40"/>
    <w:rsid w:val="00CC5838"/>
    <w:rsid w:val="00CC67BA"/>
    <w:rsid w:val="00CD0F3F"/>
    <w:rsid w:val="00CD3C21"/>
    <w:rsid w:val="00CD6998"/>
    <w:rsid w:val="00CD7B64"/>
    <w:rsid w:val="00CE1CCC"/>
    <w:rsid w:val="00CE1CFF"/>
    <w:rsid w:val="00CE3D55"/>
    <w:rsid w:val="00CF1BC5"/>
    <w:rsid w:val="00CF6E94"/>
    <w:rsid w:val="00D02341"/>
    <w:rsid w:val="00D03EB2"/>
    <w:rsid w:val="00D10F95"/>
    <w:rsid w:val="00D1246D"/>
    <w:rsid w:val="00D12750"/>
    <w:rsid w:val="00D13582"/>
    <w:rsid w:val="00D217FF"/>
    <w:rsid w:val="00D21987"/>
    <w:rsid w:val="00D22915"/>
    <w:rsid w:val="00D23881"/>
    <w:rsid w:val="00D27FEB"/>
    <w:rsid w:val="00D34C34"/>
    <w:rsid w:val="00D36DD5"/>
    <w:rsid w:val="00D4299E"/>
    <w:rsid w:val="00D44FFD"/>
    <w:rsid w:val="00D477C5"/>
    <w:rsid w:val="00D501E5"/>
    <w:rsid w:val="00D51C17"/>
    <w:rsid w:val="00D5443C"/>
    <w:rsid w:val="00D54A9B"/>
    <w:rsid w:val="00D55FB3"/>
    <w:rsid w:val="00D60195"/>
    <w:rsid w:val="00D603CF"/>
    <w:rsid w:val="00D607D1"/>
    <w:rsid w:val="00D61FF6"/>
    <w:rsid w:val="00D62013"/>
    <w:rsid w:val="00D6210E"/>
    <w:rsid w:val="00D66D8A"/>
    <w:rsid w:val="00D72B5E"/>
    <w:rsid w:val="00D7370E"/>
    <w:rsid w:val="00D75246"/>
    <w:rsid w:val="00D75E31"/>
    <w:rsid w:val="00D7777B"/>
    <w:rsid w:val="00D8000E"/>
    <w:rsid w:val="00D839E1"/>
    <w:rsid w:val="00D84759"/>
    <w:rsid w:val="00D87149"/>
    <w:rsid w:val="00D9022A"/>
    <w:rsid w:val="00D90969"/>
    <w:rsid w:val="00D91A67"/>
    <w:rsid w:val="00D9343D"/>
    <w:rsid w:val="00D93DEF"/>
    <w:rsid w:val="00D95D69"/>
    <w:rsid w:val="00D97038"/>
    <w:rsid w:val="00D972CB"/>
    <w:rsid w:val="00DA0BC3"/>
    <w:rsid w:val="00DA1271"/>
    <w:rsid w:val="00DA3A24"/>
    <w:rsid w:val="00DA3DC0"/>
    <w:rsid w:val="00DA454F"/>
    <w:rsid w:val="00DA7D0F"/>
    <w:rsid w:val="00DB186B"/>
    <w:rsid w:val="00DB5B98"/>
    <w:rsid w:val="00DB7D51"/>
    <w:rsid w:val="00DC0F86"/>
    <w:rsid w:val="00DC1CC9"/>
    <w:rsid w:val="00DC2898"/>
    <w:rsid w:val="00DC6A79"/>
    <w:rsid w:val="00DC75D4"/>
    <w:rsid w:val="00DD0BE1"/>
    <w:rsid w:val="00DD2EDE"/>
    <w:rsid w:val="00DD57B2"/>
    <w:rsid w:val="00DD64D6"/>
    <w:rsid w:val="00DD7EEC"/>
    <w:rsid w:val="00DE0A49"/>
    <w:rsid w:val="00DE1CF2"/>
    <w:rsid w:val="00DE1D70"/>
    <w:rsid w:val="00DE392E"/>
    <w:rsid w:val="00DE7882"/>
    <w:rsid w:val="00DE7D5C"/>
    <w:rsid w:val="00DF613C"/>
    <w:rsid w:val="00DF7DEC"/>
    <w:rsid w:val="00E00ED8"/>
    <w:rsid w:val="00E0169A"/>
    <w:rsid w:val="00E021E0"/>
    <w:rsid w:val="00E03860"/>
    <w:rsid w:val="00E0524C"/>
    <w:rsid w:val="00E206B9"/>
    <w:rsid w:val="00E20CB5"/>
    <w:rsid w:val="00E305A9"/>
    <w:rsid w:val="00E30B24"/>
    <w:rsid w:val="00E3251A"/>
    <w:rsid w:val="00E35D63"/>
    <w:rsid w:val="00E3632B"/>
    <w:rsid w:val="00E4108A"/>
    <w:rsid w:val="00E41E81"/>
    <w:rsid w:val="00E51B74"/>
    <w:rsid w:val="00E55BE5"/>
    <w:rsid w:val="00E61789"/>
    <w:rsid w:val="00E620F3"/>
    <w:rsid w:val="00E63302"/>
    <w:rsid w:val="00E63C21"/>
    <w:rsid w:val="00E672D6"/>
    <w:rsid w:val="00E6762F"/>
    <w:rsid w:val="00E70F19"/>
    <w:rsid w:val="00E72D88"/>
    <w:rsid w:val="00E75092"/>
    <w:rsid w:val="00E75588"/>
    <w:rsid w:val="00E764D8"/>
    <w:rsid w:val="00E76934"/>
    <w:rsid w:val="00E77DD7"/>
    <w:rsid w:val="00E80112"/>
    <w:rsid w:val="00E8102C"/>
    <w:rsid w:val="00E81257"/>
    <w:rsid w:val="00E81CBF"/>
    <w:rsid w:val="00E835B3"/>
    <w:rsid w:val="00E8387D"/>
    <w:rsid w:val="00E84E11"/>
    <w:rsid w:val="00E93494"/>
    <w:rsid w:val="00E95D09"/>
    <w:rsid w:val="00EA02E8"/>
    <w:rsid w:val="00EA0ADD"/>
    <w:rsid w:val="00EA39A8"/>
    <w:rsid w:val="00EA3BDF"/>
    <w:rsid w:val="00EA4AEA"/>
    <w:rsid w:val="00EA7AB0"/>
    <w:rsid w:val="00EB0E0A"/>
    <w:rsid w:val="00EB1110"/>
    <w:rsid w:val="00EB16E7"/>
    <w:rsid w:val="00EB1898"/>
    <w:rsid w:val="00EB4341"/>
    <w:rsid w:val="00EB4447"/>
    <w:rsid w:val="00EB5798"/>
    <w:rsid w:val="00EB5F0A"/>
    <w:rsid w:val="00EC08D5"/>
    <w:rsid w:val="00EC3F0A"/>
    <w:rsid w:val="00ED5AB7"/>
    <w:rsid w:val="00ED72E3"/>
    <w:rsid w:val="00ED78E8"/>
    <w:rsid w:val="00EE4F69"/>
    <w:rsid w:val="00EE58B4"/>
    <w:rsid w:val="00EF00CD"/>
    <w:rsid w:val="00EF23C6"/>
    <w:rsid w:val="00EF5B74"/>
    <w:rsid w:val="00EF67C7"/>
    <w:rsid w:val="00EF7EA0"/>
    <w:rsid w:val="00F001CE"/>
    <w:rsid w:val="00F0023E"/>
    <w:rsid w:val="00F0081D"/>
    <w:rsid w:val="00F0152E"/>
    <w:rsid w:val="00F0286E"/>
    <w:rsid w:val="00F07F49"/>
    <w:rsid w:val="00F12E30"/>
    <w:rsid w:val="00F14902"/>
    <w:rsid w:val="00F158A6"/>
    <w:rsid w:val="00F20224"/>
    <w:rsid w:val="00F254C5"/>
    <w:rsid w:val="00F2740C"/>
    <w:rsid w:val="00F326D4"/>
    <w:rsid w:val="00F33208"/>
    <w:rsid w:val="00F34CA4"/>
    <w:rsid w:val="00F34E52"/>
    <w:rsid w:val="00F37BC8"/>
    <w:rsid w:val="00F418B3"/>
    <w:rsid w:val="00F42457"/>
    <w:rsid w:val="00F42513"/>
    <w:rsid w:val="00F4429F"/>
    <w:rsid w:val="00F44C1F"/>
    <w:rsid w:val="00F45256"/>
    <w:rsid w:val="00F4585D"/>
    <w:rsid w:val="00F45C8E"/>
    <w:rsid w:val="00F500DA"/>
    <w:rsid w:val="00F52546"/>
    <w:rsid w:val="00F538CB"/>
    <w:rsid w:val="00F5442D"/>
    <w:rsid w:val="00F550D4"/>
    <w:rsid w:val="00F6287B"/>
    <w:rsid w:val="00F62C20"/>
    <w:rsid w:val="00F64323"/>
    <w:rsid w:val="00F64F77"/>
    <w:rsid w:val="00F7070A"/>
    <w:rsid w:val="00F70AC1"/>
    <w:rsid w:val="00F752AD"/>
    <w:rsid w:val="00F80604"/>
    <w:rsid w:val="00F80FE4"/>
    <w:rsid w:val="00F81F85"/>
    <w:rsid w:val="00F83244"/>
    <w:rsid w:val="00F83D00"/>
    <w:rsid w:val="00F863A4"/>
    <w:rsid w:val="00F91FE5"/>
    <w:rsid w:val="00F939E8"/>
    <w:rsid w:val="00F9592A"/>
    <w:rsid w:val="00F96E6B"/>
    <w:rsid w:val="00F97119"/>
    <w:rsid w:val="00FA0433"/>
    <w:rsid w:val="00FA5885"/>
    <w:rsid w:val="00FB4634"/>
    <w:rsid w:val="00FB6894"/>
    <w:rsid w:val="00FC32F0"/>
    <w:rsid w:val="00FC48F1"/>
    <w:rsid w:val="00FC682E"/>
    <w:rsid w:val="00FD1CFA"/>
    <w:rsid w:val="00FD3C0F"/>
    <w:rsid w:val="00FD4E26"/>
    <w:rsid w:val="00FD6768"/>
    <w:rsid w:val="00FE375C"/>
    <w:rsid w:val="00FE5055"/>
    <w:rsid w:val="00FE6E31"/>
    <w:rsid w:val="00FF00E3"/>
    <w:rsid w:val="00FF17A2"/>
    <w:rsid w:val="00FF4B5B"/>
    <w:rsid w:val="00FF637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028D0E-BEBE-4315-BCDB-127F8F7A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BC"/>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04BC"/>
    <w:pPr>
      <w:autoSpaceDE w:val="0"/>
      <w:autoSpaceDN w:val="0"/>
      <w:adjustRightInd w:val="0"/>
      <w:jc w:val="both"/>
    </w:pPr>
    <w:rPr>
      <w:sz w:val="20"/>
    </w:rPr>
  </w:style>
  <w:style w:type="paragraph" w:styleId="Header">
    <w:name w:val="header"/>
    <w:basedOn w:val="Normal"/>
    <w:rsid w:val="009E04BC"/>
    <w:pPr>
      <w:tabs>
        <w:tab w:val="center" w:pos="4153"/>
        <w:tab w:val="right" w:pos="8306"/>
      </w:tabs>
    </w:pPr>
    <w:rPr>
      <w:rFonts w:ascii="RimTimes" w:hAnsi="RimTimes"/>
      <w:sz w:val="28"/>
      <w:szCs w:val="20"/>
      <w:lang w:val="lv-LV"/>
    </w:rPr>
  </w:style>
  <w:style w:type="character" w:customStyle="1" w:styleId="arial12negru1">
    <w:name w:val="arial12negru1"/>
    <w:rsid w:val="002F3DFA"/>
    <w:rPr>
      <w:rFonts w:ascii="Arial" w:hAnsi="Arial" w:cs="Arial" w:hint="default"/>
      <w:b w:val="0"/>
      <w:bCs w:val="0"/>
      <w:strike w:val="0"/>
      <w:dstrike w:val="0"/>
      <w:color w:val="000000"/>
      <w:sz w:val="19"/>
      <w:szCs w:val="19"/>
      <w:u w:val="none"/>
      <w:effect w:val="none"/>
    </w:rPr>
  </w:style>
  <w:style w:type="paragraph" w:styleId="NormalWeb">
    <w:name w:val="Normal (Web)"/>
    <w:basedOn w:val="Normal"/>
    <w:uiPriority w:val="99"/>
    <w:rsid w:val="00062BF8"/>
    <w:pPr>
      <w:spacing w:before="100" w:beforeAutospacing="1" w:after="100" w:afterAutospacing="1"/>
    </w:pPr>
    <w:rPr>
      <w:lang w:val="en-US"/>
    </w:rPr>
  </w:style>
  <w:style w:type="character" w:customStyle="1" w:styleId="style61">
    <w:name w:val="style61"/>
    <w:rsid w:val="00062BF8"/>
    <w:rPr>
      <w:color w:val="336699"/>
    </w:rPr>
  </w:style>
  <w:style w:type="character" w:styleId="Hyperlink">
    <w:name w:val="Hyperlink"/>
    <w:rsid w:val="00062BF8"/>
    <w:rPr>
      <w:color w:val="0000FF"/>
      <w:u w:val="single"/>
    </w:rPr>
  </w:style>
  <w:style w:type="paragraph" w:customStyle="1" w:styleId="CaracterCaracterCharCharCaracterCaracter">
    <w:name w:val="Caracter Caracter Char Char Caracter Caracter"/>
    <w:basedOn w:val="Normal"/>
    <w:rsid w:val="00233A2E"/>
    <w:pPr>
      <w:spacing w:after="160" w:line="240" w:lineRule="exact"/>
    </w:pPr>
    <w:rPr>
      <w:rFonts w:ascii="Tahoma" w:hAnsi="Tahoma"/>
      <w:sz w:val="20"/>
      <w:szCs w:val="20"/>
      <w:lang w:val="en-US"/>
    </w:rPr>
  </w:style>
  <w:style w:type="paragraph" w:styleId="BalloonText">
    <w:name w:val="Balloon Text"/>
    <w:basedOn w:val="Normal"/>
    <w:semiHidden/>
    <w:rsid w:val="00BA794A"/>
    <w:rPr>
      <w:rFonts w:ascii="Tahoma" w:hAnsi="Tahoma" w:cs="Tahoma"/>
      <w:sz w:val="16"/>
      <w:szCs w:val="16"/>
    </w:rPr>
  </w:style>
  <w:style w:type="table" w:styleId="TableGrid">
    <w:name w:val="Table Grid"/>
    <w:basedOn w:val="TableNormal"/>
    <w:rsid w:val="002C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F80604"/>
    <w:rPr>
      <w:lang w:val="pl-PL" w:eastAsia="pl-PL"/>
    </w:rPr>
  </w:style>
  <w:style w:type="paragraph" w:customStyle="1" w:styleId="CaracterCaracter">
    <w:name w:val="Caracter Caracter"/>
    <w:basedOn w:val="Normal"/>
    <w:rsid w:val="0062206F"/>
    <w:pPr>
      <w:spacing w:after="160" w:line="240" w:lineRule="exact"/>
    </w:pPr>
    <w:rPr>
      <w:rFonts w:ascii="Tahoma" w:hAnsi="Tahoma"/>
      <w:sz w:val="20"/>
      <w:szCs w:val="20"/>
      <w:lang w:val="en-US"/>
    </w:rPr>
  </w:style>
  <w:style w:type="character" w:styleId="Emphasis">
    <w:name w:val="Emphasis"/>
    <w:uiPriority w:val="20"/>
    <w:qFormat/>
    <w:rsid w:val="00B24852"/>
    <w:rPr>
      <w:i/>
      <w:iCs/>
    </w:rPr>
  </w:style>
  <w:style w:type="paragraph" w:styleId="HTMLPreformatted">
    <w:name w:val="HTML Preformatted"/>
    <w:basedOn w:val="Normal"/>
    <w:link w:val="HTMLPreformattedChar"/>
    <w:rsid w:val="0061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rsid w:val="00613945"/>
    <w:rPr>
      <w:rFonts w:ascii="Courier New" w:hAnsi="Courier New" w:cs="Courier New"/>
      <w:lang w:val="en-US" w:eastAsia="en-US"/>
    </w:rPr>
  </w:style>
  <w:style w:type="paragraph" w:customStyle="1" w:styleId="Default">
    <w:name w:val="Default"/>
    <w:rsid w:val="00250B1D"/>
    <w:pPr>
      <w:autoSpaceDE w:val="0"/>
      <w:autoSpaceDN w:val="0"/>
      <w:adjustRightInd w:val="0"/>
    </w:pPr>
    <w:rPr>
      <w:color w:val="000000"/>
      <w:sz w:val="24"/>
      <w:szCs w:val="24"/>
    </w:rPr>
  </w:style>
  <w:style w:type="character" w:styleId="CommentReference">
    <w:name w:val="annotation reference"/>
    <w:rsid w:val="00F80FE4"/>
    <w:rPr>
      <w:sz w:val="16"/>
      <w:szCs w:val="16"/>
    </w:rPr>
  </w:style>
  <w:style w:type="paragraph" w:styleId="CommentText">
    <w:name w:val="annotation text"/>
    <w:basedOn w:val="Normal"/>
    <w:link w:val="CommentTextChar"/>
    <w:rsid w:val="00F80FE4"/>
    <w:rPr>
      <w:sz w:val="20"/>
      <w:szCs w:val="20"/>
    </w:rPr>
  </w:style>
  <w:style w:type="character" w:customStyle="1" w:styleId="CommentTextChar">
    <w:name w:val="Comment Text Char"/>
    <w:link w:val="CommentText"/>
    <w:rsid w:val="00F80FE4"/>
    <w:rPr>
      <w:lang w:eastAsia="en-US"/>
    </w:rPr>
  </w:style>
  <w:style w:type="paragraph" w:styleId="Footer">
    <w:name w:val="footer"/>
    <w:basedOn w:val="Normal"/>
    <w:link w:val="FooterChar"/>
    <w:uiPriority w:val="99"/>
    <w:rsid w:val="004463FB"/>
    <w:pPr>
      <w:tabs>
        <w:tab w:val="center" w:pos="4680"/>
        <w:tab w:val="right" w:pos="9360"/>
      </w:tabs>
    </w:pPr>
  </w:style>
  <w:style w:type="character" w:customStyle="1" w:styleId="FooterChar">
    <w:name w:val="Footer Char"/>
    <w:link w:val="Footer"/>
    <w:uiPriority w:val="99"/>
    <w:rsid w:val="004463FB"/>
    <w:rPr>
      <w:sz w:val="24"/>
      <w:szCs w:val="24"/>
      <w:lang w:val="ro-RO"/>
    </w:rPr>
  </w:style>
  <w:style w:type="paragraph" w:styleId="BodyText2">
    <w:name w:val="Body Text 2"/>
    <w:basedOn w:val="Normal"/>
    <w:rsid w:val="007C1AD7"/>
    <w:pPr>
      <w:spacing w:after="120" w:line="480" w:lineRule="auto"/>
    </w:pPr>
    <w:rPr>
      <w:rFonts w:ascii="Arial" w:hAnsi="Arial"/>
      <w:b/>
      <w:bCs/>
    </w:rPr>
  </w:style>
  <w:style w:type="character" w:styleId="Strong">
    <w:name w:val="Strong"/>
    <w:qFormat/>
    <w:rsid w:val="00EA02E8"/>
    <w:rPr>
      <w:b/>
      <w:bCs/>
    </w:rPr>
  </w:style>
  <w:style w:type="paragraph" w:styleId="FootnoteText">
    <w:name w:val="footnote text"/>
    <w:basedOn w:val="Normal"/>
    <w:link w:val="FootnoteTextChar"/>
    <w:rsid w:val="009F4E66"/>
    <w:rPr>
      <w:sz w:val="20"/>
      <w:szCs w:val="20"/>
      <w:lang w:val="en-US"/>
    </w:rPr>
  </w:style>
  <w:style w:type="character" w:styleId="FootnoteReference">
    <w:name w:val="footnote reference"/>
    <w:rsid w:val="009F4E66"/>
    <w:rPr>
      <w:vertAlign w:val="superscript"/>
    </w:rPr>
  </w:style>
  <w:style w:type="paragraph" w:styleId="ListParagraph">
    <w:name w:val="List Paragraph"/>
    <w:basedOn w:val="Normal"/>
    <w:qFormat/>
    <w:rsid w:val="009F4E66"/>
    <w:pPr>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link w:val="FootnoteText"/>
    <w:rsid w:val="00F64323"/>
    <w:rPr>
      <w:lang w:val="en-US" w:eastAsia="en-US"/>
    </w:rPr>
  </w:style>
  <w:style w:type="paragraph" w:styleId="NoSpacing">
    <w:name w:val="No Spacing"/>
    <w:uiPriority w:val="1"/>
    <w:qFormat/>
    <w:rsid w:val="00250ACA"/>
    <w:rPr>
      <w:sz w:val="28"/>
      <w:lang w:val="en-AU"/>
    </w:rPr>
  </w:style>
  <w:style w:type="paragraph" w:customStyle="1" w:styleId="CaracterCaracter0">
    <w:name w:val="Caracter Caracter"/>
    <w:basedOn w:val="Normal"/>
    <w:rsid w:val="00CD7B64"/>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918">
      <w:bodyDiv w:val="1"/>
      <w:marLeft w:val="0"/>
      <w:marRight w:val="0"/>
      <w:marTop w:val="0"/>
      <w:marBottom w:val="0"/>
      <w:divBdr>
        <w:top w:val="none" w:sz="0" w:space="0" w:color="auto"/>
        <w:left w:val="none" w:sz="0" w:space="0" w:color="auto"/>
        <w:bottom w:val="none" w:sz="0" w:space="0" w:color="auto"/>
        <w:right w:val="none" w:sz="0" w:space="0" w:color="auto"/>
      </w:divBdr>
    </w:div>
    <w:div w:id="435104151">
      <w:bodyDiv w:val="1"/>
      <w:marLeft w:val="0"/>
      <w:marRight w:val="0"/>
      <w:marTop w:val="0"/>
      <w:marBottom w:val="0"/>
      <w:divBdr>
        <w:top w:val="none" w:sz="0" w:space="0" w:color="auto"/>
        <w:left w:val="none" w:sz="0" w:space="0" w:color="auto"/>
        <w:bottom w:val="none" w:sz="0" w:space="0" w:color="auto"/>
        <w:right w:val="none" w:sz="0" w:space="0" w:color="auto"/>
      </w:divBdr>
    </w:div>
    <w:div w:id="793600240">
      <w:bodyDiv w:val="1"/>
      <w:marLeft w:val="0"/>
      <w:marRight w:val="0"/>
      <w:marTop w:val="0"/>
      <w:marBottom w:val="0"/>
      <w:divBdr>
        <w:top w:val="none" w:sz="0" w:space="0" w:color="auto"/>
        <w:left w:val="none" w:sz="0" w:space="0" w:color="auto"/>
        <w:bottom w:val="none" w:sz="0" w:space="0" w:color="auto"/>
        <w:right w:val="none" w:sz="0" w:space="0" w:color="auto"/>
      </w:divBdr>
    </w:div>
    <w:div w:id="1500459697">
      <w:bodyDiv w:val="1"/>
      <w:marLeft w:val="0"/>
      <w:marRight w:val="0"/>
      <w:marTop w:val="0"/>
      <w:marBottom w:val="0"/>
      <w:divBdr>
        <w:top w:val="none" w:sz="0" w:space="0" w:color="auto"/>
        <w:left w:val="none" w:sz="0" w:space="0" w:color="auto"/>
        <w:bottom w:val="none" w:sz="0" w:space="0" w:color="auto"/>
        <w:right w:val="none" w:sz="0" w:space="0" w:color="auto"/>
      </w:divBdr>
    </w:div>
    <w:div w:id="1584414970">
      <w:bodyDiv w:val="1"/>
      <w:marLeft w:val="0"/>
      <w:marRight w:val="0"/>
      <w:marTop w:val="0"/>
      <w:marBottom w:val="0"/>
      <w:divBdr>
        <w:top w:val="none" w:sz="0" w:space="0" w:color="auto"/>
        <w:left w:val="none" w:sz="0" w:space="0" w:color="auto"/>
        <w:bottom w:val="none" w:sz="0" w:space="0" w:color="auto"/>
        <w:right w:val="none" w:sz="0" w:space="0" w:color="auto"/>
      </w:divBdr>
    </w:div>
    <w:div w:id="1607273195">
      <w:bodyDiv w:val="1"/>
      <w:marLeft w:val="0"/>
      <w:marRight w:val="0"/>
      <w:marTop w:val="0"/>
      <w:marBottom w:val="0"/>
      <w:divBdr>
        <w:top w:val="none" w:sz="0" w:space="0" w:color="auto"/>
        <w:left w:val="none" w:sz="0" w:space="0" w:color="auto"/>
        <w:bottom w:val="none" w:sz="0" w:space="0" w:color="auto"/>
        <w:right w:val="none" w:sz="0" w:space="0" w:color="auto"/>
      </w:divBdr>
    </w:div>
    <w:div w:id="1741753290">
      <w:bodyDiv w:val="1"/>
      <w:marLeft w:val="0"/>
      <w:marRight w:val="0"/>
      <w:marTop w:val="0"/>
      <w:marBottom w:val="0"/>
      <w:divBdr>
        <w:top w:val="none" w:sz="0" w:space="0" w:color="auto"/>
        <w:left w:val="none" w:sz="0" w:space="0" w:color="auto"/>
        <w:bottom w:val="none" w:sz="0" w:space="0" w:color="auto"/>
        <w:right w:val="none" w:sz="0" w:space="0" w:color="auto"/>
      </w:divBdr>
    </w:div>
    <w:div w:id="1782676178">
      <w:bodyDiv w:val="1"/>
      <w:marLeft w:val="0"/>
      <w:marRight w:val="0"/>
      <w:marTop w:val="0"/>
      <w:marBottom w:val="0"/>
      <w:divBdr>
        <w:top w:val="none" w:sz="0" w:space="0" w:color="auto"/>
        <w:left w:val="none" w:sz="0" w:space="0" w:color="auto"/>
        <w:bottom w:val="none" w:sz="0" w:space="0" w:color="auto"/>
        <w:right w:val="none" w:sz="0" w:space="0" w:color="auto"/>
      </w:divBdr>
    </w:div>
    <w:div w:id="1958288861">
      <w:bodyDiv w:val="1"/>
      <w:marLeft w:val="0"/>
      <w:marRight w:val="0"/>
      <w:marTop w:val="0"/>
      <w:marBottom w:val="0"/>
      <w:divBdr>
        <w:top w:val="none" w:sz="0" w:space="0" w:color="auto"/>
        <w:left w:val="none" w:sz="0" w:space="0" w:color="auto"/>
        <w:bottom w:val="none" w:sz="0" w:space="0" w:color="auto"/>
        <w:right w:val="none" w:sz="0" w:space="0" w:color="auto"/>
      </w:divBdr>
    </w:div>
    <w:div w:id="1986622605">
      <w:bodyDiv w:val="1"/>
      <w:marLeft w:val="0"/>
      <w:marRight w:val="0"/>
      <w:marTop w:val="0"/>
      <w:marBottom w:val="0"/>
      <w:divBdr>
        <w:top w:val="none" w:sz="0" w:space="0" w:color="auto"/>
        <w:left w:val="none" w:sz="0" w:space="0" w:color="auto"/>
        <w:bottom w:val="none" w:sz="0" w:space="0" w:color="auto"/>
        <w:right w:val="none" w:sz="0" w:space="0" w:color="auto"/>
      </w:divBdr>
      <w:divsChild>
        <w:div w:id="799298919">
          <w:marLeft w:val="0"/>
          <w:marRight w:val="0"/>
          <w:marTop w:val="0"/>
          <w:marBottom w:val="0"/>
          <w:divBdr>
            <w:top w:val="none" w:sz="0" w:space="0" w:color="auto"/>
            <w:left w:val="none" w:sz="0" w:space="0" w:color="auto"/>
            <w:bottom w:val="none" w:sz="0" w:space="0" w:color="auto"/>
            <w:right w:val="none" w:sz="0" w:space="0" w:color="auto"/>
          </w:divBdr>
        </w:div>
        <w:div w:id="625506648">
          <w:marLeft w:val="0"/>
          <w:marRight w:val="0"/>
          <w:marTop w:val="0"/>
          <w:marBottom w:val="0"/>
          <w:divBdr>
            <w:top w:val="none" w:sz="0" w:space="0" w:color="auto"/>
            <w:left w:val="none" w:sz="0" w:space="0" w:color="auto"/>
            <w:bottom w:val="none" w:sz="0" w:space="0" w:color="auto"/>
            <w:right w:val="none" w:sz="0" w:space="0" w:color="auto"/>
          </w:divBdr>
        </w:div>
        <w:div w:id="1783960983">
          <w:marLeft w:val="0"/>
          <w:marRight w:val="0"/>
          <w:marTop w:val="0"/>
          <w:marBottom w:val="0"/>
          <w:divBdr>
            <w:top w:val="none" w:sz="0" w:space="0" w:color="auto"/>
            <w:left w:val="none" w:sz="0" w:space="0" w:color="auto"/>
            <w:bottom w:val="none" w:sz="0" w:space="0" w:color="auto"/>
            <w:right w:val="none" w:sz="0" w:space="0" w:color="auto"/>
          </w:divBdr>
        </w:div>
        <w:div w:id="2133816158">
          <w:marLeft w:val="0"/>
          <w:marRight w:val="0"/>
          <w:marTop w:val="0"/>
          <w:marBottom w:val="0"/>
          <w:divBdr>
            <w:top w:val="none" w:sz="0" w:space="0" w:color="auto"/>
            <w:left w:val="none" w:sz="0" w:space="0" w:color="auto"/>
            <w:bottom w:val="none" w:sz="0" w:space="0" w:color="auto"/>
            <w:right w:val="none" w:sz="0" w:space="0" w:color="auto"/>
          </w:divBdr>
        </w:div>
        <w:div w:id="437721421">
          <w:marLeft w:val="0"/>
          <w:marRight w:val="0"/>
          <w:marTop w:val="0"/>
          <w:marBottom w:val="0"/>
          <w:divBdr>
            <w:top w:val="none" w:sz="0" w:space="0" w:color="auto"/>
            <w:left w:val="none" w:sz="0" w:space="0" w:color="auto"/>
            <w:bottom w:val="none" w:sz="0" w:space="0" w:color="auto"/>
            <w:right w:val="none" w:sz="0" w:space="0" w:color="auto"/>
          </w:divBdr>
        </w:div>
        <w:div w:id="78862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23D4618E985B47BC33A5DA0F4E3979" ma:contentTypeVersion="11" ma:contentTypeDescription="Creați un document nou." ma:contentTypeScope="" ma:versionID="787c75396e358bb12ac1e533cb19e891">
  <xsd:schema xmlns:xsd="http://www.w3.org/2001/XMLSchema" xmlns:xs="http://www.w3.org/2001/XMLSchema" xmlns:p="http://schemas.microsoft.com/office/2006/metadata/properties" xmlns:ns3="1be8148e-69f1-496e-9ea0-4347182dd527" xmlns:ns4="15205304-7e60-488b-80be-3ce566ee7dcc" targetNamespace="http://schemas.microsoft.com/office/2006/metadata/properties" ma:root="true" ma:fieldsID="5438a5e7b15f29b1d57c809585836b52" ns3:_="" ns4:_="">
    <xsd:import namespace="1be8148e-69f1-496e-9ea0-4347182dd527"/>
    <xsd:import namespace="15205304-7e60-488b-80be-3ce566ee7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8148e-69f1-496e-9ea0-4347182dd527"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element name="SharingHintHash" ma:index="10" nillable="true" ma:displayName="Partajare cod hash indiciu"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05304-7e60-488b-80be-3ce566ee7d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5035-8504-47CB-B827-B89F430F4426}">
  <ds:schemaRefs>
    <ds:schemaRef ds:uri="http://schemas.microsoft.com/sharepoint/v3/contenttype/forms"/>
  </ds:schemaRefs>
</ds:datastoreItem>
</file>

<file path=customXml/itemProps2.xml><?xml version="1.0" encoding="utf-8"?>
<ds:datastoreItem xmlns:ds="http://schemas.openxmlformats.org/officeDocument/2006/customXml" ds:itemID="{888BCC28-DE1F-4146-90EC-B1BD91A59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DBB3B-941D-4F63-8DAE-C40C44A9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8148e-69f1-496e-9ea0-4347182dd527"/>
    <ds:schemaRef ds:uri="15205304-7e60-488b-80be-3ce566ee7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B3814-ADE6-42DD-9532-205F4516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NOTA DE FUNDAMENTARE</vt:lpstr>
    </vt:vector>
  </TitlesOfParts>
  <Company>MMuncii</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MTopli</dc:creator>
  <cp:lastModifiedBy>Ivan Gheorghe</cp:lastModifiedBy>
  <cp:revision>8</cp:revision>
  <cp:lastPrinted>2020-12-28T09:57:00Z</cp:lastPrinted>
  <dcterms:created xsi:type="dcterms:W3CDTF">2020-12-28T09:33:00Z</dcterms:created>
  <dcterms:modified xsi:type="dcterms:W3CDTF">2020-12-28T10:35:00Z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0x010100E323D4618E985B47BC33A5DA0F4E3979</vt:lpwstr>
  </property>
</Properties>
</file>