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E19E0" w14:textId="727FCC44" w:rsidR="000D2DAD" w:rsidRPr="00A465B2" w:rsidRDefault="00730E49" w:rsidP="001217CC">
      <w:pPr>
        <w:pStyle w:val="Heading1"/>
        <w:spacing w:line="276" w:lineRule="auto"/>
        <w:jc w:val="center"/>
        <w:divId w:val="331373038"/>
        <w:rPr>
          <w:rFonts w:ascii="Trebuchet MS" w:hAnsi="Trebuchet MS"/>
          <w:color w:val="auto"/>
          <w:sz w:val="24"/>
          <w:szCs w:val="24"/>
          <w:lang w:val="ro-RO"/>
        </w:rPr>
      </w:pPr>
      <w:r>
        <w:rPr>
          <w:rFonts w:ascii="Trebuchet MS" w:hAnsi="Trebuchet MS"/>
          <w:color w:val="auto"/>
          <w:sz w:val="24"/>
          <w:szCs w:val="24"/>
          <w:lang w:val="ro-RO"/>
        </w:rPr>
        <w:t>LEGE</w:t>
      </w:r>
    </w:p>
    <w:p w14:paraId="27D36DDC" w14:textId="64F8354C" w:rsidR="009F5373" w:rsidRPr="00A465B2" w:rsidRDefault="001E4614" w:rsidP="001217CC">
      <w:pPr>
        <w:pStyle w:val="Heading1"/>
        <w:spacing w:line="276" w:lineRule="auto"/>
        <w:jc w:val="center"/>
        <w:divId w:val="331373038"/>
        <w:rPr>
          <w:rFonts w:ascii="Trebuchet MS" w:hAnsi="Trebuchet MS"/>
          <w:color w:val="auto"/>
          <w:sz w:val="24"/>
          <w:szCs w:val="24"/>
          <w:lang w:val="ro-RO"/>
        </w:rPr>
      </w:pPr>
      <w:r w:rsidRPr="00A465B2">
        <w:rPr>
          <w:rFonts w:ascii="Trebuchet MS" w:hAnsi="Trebuchet MS"/>
          <w:color w:val="auto"/>
          <w:sz w:val="24"/>
          <w:szCs w:val="24"/>
          <w:lang w:val="ro-RO"/>
        </w:rPr>
        <w:t>p</w:t>
      </w:r>
      <w:r>
        <w:rPr>
          <w:rFonts w:ascii="Trebuchet MS" w:hAnsi="Trebuchet MS"/>
          <w:color w:val="auto"/>
          <w:sz w:val="24"/>
          <w:szCs w:val="24"/>
          <w:lang w:val="ro-RO"/>
        </w:rPr>
        <w:t>entru</w:t>
      </w:r>
      <w:r w:rsidRPr="00A465B2">
        <w:rPr>
          <w:rFonts w:ascii="Trebuchet MS" w:hAnsi="Trebuchet MS"/>
          <w:color w:val="auto"/>
          <w:sz w:val="24"/>
          <w:szCs w:val="24"/>
          <w:lang w:val="ro-RO"/>
        </w:rPr>
        <w:t xml:space="preserve"> </w:t>
      </w:r>
      <w:r w:rsidR="000D2DAD" w:rsidRPr="00A465B2">
        <w:rPr>
          <w:rFonts w:ascii="Trebuchet MS" w:hAnsi="Trebuchet MS"/>
          <w:color w:val="auto"/>
          <w:sz w:val="24"/>
          <w:szCs w:val="24"/>
          <w:lang w:val="ro-RO"/>
        </w:rPr>
        <w:t>modificarea si completarea Legii</w:t>
      </w:r>
      <w:r w:rsidR="00142599" w:rsidRPr="00A465B2">
        <w:rPr>
          <w:rFonts w:ascii="Trebuchet MS" w:hAnsi="Trebuchet MS"/>
          <w:color w:val="auto"/>
          <w:sz w:val="24"/>
          <w:szCs w:val="24"/>
          <w:lang w:val="ro-RO"/>
        </w:rPr>
        <w:t xml:space="preserve"> nr. 200/2006 privind constituirea și utilizarea Fondului de garantare pentru plata creanțelor salariale</w:t>
      </w:r>
    </w:p>
    <w:p w14:paraId="752A4F56" w14:textId="3535ED77" w:rsidR="000D2DAD" w:rsidRPr="00A465B2" w:rsidRDefault="000D2DAD" w:rsidP="001217CC">
      <w:pPr>
        <w:pStyle w:val="Heading4"/>
        <w:shd w:val="clear" w:color="auto" w:fill="FFFFFF"/>
        <w:spacing w:before="225" w:after="75" w:line="276" w:lineRule="auto"/>
        <w:rPr>
          <w:rFonts w:ascii="Trebuchet MS" w:hAnsi="Trebuchet MS"/>
          <w:lang w:val="ro-RO"/>
        </w:rPr>
      </w:pPr>
      <w:r w:rsidRPr="00A465B2">
        <w:rPr>
          <w:rFonts w:ascii="Trebuchet MS" w:hAnsi="Trebuchet MS"/>
          <w:lang w:val="ro-RO"/>
        </w:rPr>
        <w:t>Art. I.</w:t>
      </w:r>
    </w:p>
    <w:p w14:paraId="73327BD8" w14:textId="77777777" w:rsidR="000D2DAD" w:rsidRPr="00A465B2" w:rsidRDefault="000D2DAD" w:rsidP="001217CC">
      <w:pPr>
        <w:pStyle w:val="Heading1"/>
        <w:spacing w:line="276" w:lineRule="auto"/>
        <w:rPr>
          <w:rFonts w:ascii="Trebuchet MS" w:eastAsia="Times New Roman" w:hAnsi="Trebuchet MS"/>
          <w:color w:val="auto"/>
          <w:sz w:val="24"/>
          <w:szCs w:val="24"/>
          <w:lang w:val="ro-RO"/>
        </w:rPr>
      </w:pPr>
      <w:r w:rsidRPr="00A465B2">
        <w:rPr>
          <w:rFonts w:ascii="Trebuchet MS" w:hAnsi="Trebuchet MS"/>
          <w:color w:val="auto"/>
          <w:sz w:val="24"/>
          <w:szCs w:val="24"/>
          <w:lang w:val="ro-RO"/>
        </w:rPr>
        <w:t>Legea nr. 200/2006 </w:t>
      </w:r>
      <w:r w:rsidRPr="00A465B2">
        <w:rPr>
          <w:rFonts w:ascii="Trebuchet MS" w:eastAsia="Times New Roman" w:hAnsi="Trebuchet MS"/>
          <w:color w:val="auto"/>
          <w:sz w:val="24"/>
          <w:szCs w:val="24"/>
          <w:lang w:val="ro-RO"/>
        </w:rPr>
        <w:t>privind constituirea și utilizarea Fondului de garantare pentru plata creanțelor salariale</w:t>
      </w:r>
      <w:r w:rsidRPr="00A465B2">
        <w:rPr>
          <w:rFonts w:ascii="Trebuchet MS" w:hAnsi="Trebuchet MS"/>
          <w:color w:val="auto"/>
          <w:sz w:val="24"/>
          <w:szCs w:val="24"/>
          <w:lang w:val="ro-RO"/>
        </w:rPr>
        <w:t xml:space="preserve">, publicată în Monitorul Oficial al României, Partea I, </w:t>
      </w:r>
      <w:r w:rsidRPr="00A465B2">
        <w:rPr>
          <w:rFonts w:ascii="Trebuchet MS" w:hAnsi="Trebuchet MS"/>
          <w:color w:val="auto"/>
          <w:sz w:val="24"/>
          <w:szCs w:val="24"/>
          <w:shd w:val="clear" w:color="auto" w:fill="FFFFFF"/>
          <w:lang w:val="ro-RO"/>
        </w:rPr>
        <w:t>nr. 453 din 25 mai 2006</w:t>
      </w:r>
      <w:r w:rsidRPr="00A465B2">
        <w:rPr>
          <w:rFonts w:ascii="Trebuchet MS" w:hAnsi="Trebuchet MS"/>
          <w:color w:val="auto"/>
          <w:sz w:val="24"/>
          <w:szCs w:val="24"/>
          <w:lang w:val="ro-RO"/>
        </w:rPr>
        <w:t>, se modifică și se completează după cum urmează:</w:t>
      </w:r>
    </w:p>
    <w:p w14:paraId="63D02327" w14:textId="77777777" w:rsidR="00A465B2" w:rsidRDefault="00A465B2" w:rsidP="001217CC">
      <w:pPr>
        <w:spacing w:after="0" w:line="276" w:lineRule="auto"/>
        <w:ind w:left="284"/>
        <w:jc w:val="both"/>
        <w:rPr>
          <w:rFonts w:ascii="Trebuchet MS" w:hAnsi="Trebuchet MS" w:cs="Times New Roman"/>
          <w:b/>
          <w:bCs/>
          <w:lang w:val="ro-RO"/>
        </w:rPr>
      </w:pPr>
    </w:p>
    <w:p w14:paraId="5C9E2620" w14:textId="38EBF71E" w:rsidR="002B08B7" w:rsidRPr="00C178B9" w:rsidRDefault="002B08B7" w:rsidP="002B08B7">
      <w:pPr>
        <w:pStyle w:val="al"/>
        <w:spacing w:line="276" w:lineRule="auto"/>
        <w:rPr>
          <w:b/>
          <w:bCs/>
          <w:lang w:val="ro-RO"/>
        </w:rPr>
      </w:pPr>
      <w:r>
        <w:rPr>
          <w:b/>
          <w:lang w:val="ro-RO"/>
        </w:rPr>
        <w:t xml:space="preserve">1. </w:t>
      </w:r>
      <w:r w:rsidRPr="00C178B9">
        <w:rPr>
          <w:rFonts w:ascii="Trebuchet MS" w:hAnsi="Trebuchet MS"/>
          <w:b/>
          <w:sz w:val="22"/>
          <w:szCs w:val="22"/>
          <w:lang w:val="ro-RO"/>
        </w:rPr>
        <w:t>Articolul 2 se modific</w:t>
      </w:r>
      <w:r>
        <w:rPr>
          <w:rFonts w:ascii="Trebuchet MS" w:hAnsi="Trebuchet MS"/>
          <w:b/>
          <w:sz w:val="22"/>
          <w:szCs w:val="22"/>
          <w:lang w:val="ro-RO"/>
        </w:rPr>
        <w:t>ă</w:t>
      </w:r>
      <w:r w:rsidRPr="00C178B9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>
        <w:rPr>
          <w:rFonts w:ascii="Trebuchet MS" w:hAnsi="Trebuchet MS"/>
          <w:b/>
          <w:sz w:val="22"/>
          <w:szCs w:val="22"/>
          <w:lang w:val="ro-RO"/>
        </w:rPr>
        <w:t>ș</w:t>
      </w:r>
      <w:r w:rsidRPr="00C178B9">
        <w:rPr>
          <w:rFonts w:ascii="Trebuchet MS" w:hAnsi="Trebuchet MS"/>
          <w:b/>
          <w:sz w:val="22"/>
          <w:szCs w:val="22"/>
          <w:lang w:val="ro-RO"/>
        </w:rPr>
        <w:t xml:space="preserve">i va avea următorul </w:t>
      </w:r>
      <w:r w:rsidRPr="00C178B9">
        <w:rPr>
          <w:rFonts w:ascii="Trebuchet MS" w:hAnsi="Trebuchet MS"/>
          <w:b/>
          <w:bCs/>
          <w:sz w:val="22"/>
          <w:szCs w:val="22"/>
          <w:lang w:val="ro-RO"/>
        </w:rPr>
        <w:t>cuprins</w:t>
      </w:r>
      <w:r w:rsidRPr="00C178B9">
        <w:rPr>
          <w:b/>
          <w:bCs/>
          <w:lang w:val="ro-RO"/>
        </w:rPr>
        <w:t>:</w:t>
      </w:r>
    </w:p>
    <w:p w14:paraId="5AE92C78" w14:textId="77777777" w:rsidR="002B08B7" w:rsidRDefault="002B08B7" w:rsidP="002B08B7">
      <w:pPr>
        <w:pStyle w:val="al"/>
        <w:spacing w:line="276" w:lineRule="auto"/>
        <w:rPr>
          <w:rFonts w:ascii="Trebuchet MS" w:hAnsi="Trebuchet MS"/>
          <w:lang w:val="ro-RO"/>
        </w:rPr>
      </w:pPr>
    </w:p>
    <w:p w14:paraId="3A2974AA" w14:textId="77777777" w:rsidR="002B08B7" w:rsidRPr="002E4246" w:rsidRDefault="002B08B7" w:rsidP="00EC3375">
      <w:pPr>
        <w:pStyle w:val="al"/>
        <w:spacing w:line="276" w:lineRule="auto"/>
        <w:rPr>
          <w:rFonts w:ascii="Trebuchet MS" w:hAnsi="Trebuchet MS"/>
          <w:lang w:val="ro-RO"/>
        </w:rPr>
      </w:pPr>
      <w:r w:rsidRPr="002E4246">
        <w:rPr>
          <w:rFonts w:ascii="Trebuchet MS" w:hAnsi="Trebuchet MS"/>
          <w:lang w:val="ro-RO"/>
        </w:rPr>
        <w:t>“ Art. 2</w:t>
      </w:r>
    </w:p>
    <w:p w14:paraId="636D6BD5" w14:textId="48AAC3B7" w:rsidR="002B08B7" w:rsidRPr="00EC3375" w:rsidRDefault="002B08B7" w:rsidP="00EC337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C3375">
        <w:rPr>
          <w:rFonts w:ascii="Trebuchet MS" w:hAnsi="Trebuchet MS" w:cs="Times New Roman"/>
          <w:sz w:val="24"/>
          <w:szCs w:val="24"/>
          <w:lang w:val="ro-RO"/>
        </w:rPr>
        <w:t xml:space="preserve">Din Fondul de garantare se asigură plata </w:t>
      </w:r>
      <w:proofErr w:type="spellStart"/>
      <w:r w:rsidRPr="00EC3375">
        <w:rPr>
          <w:rFonts w:ascii="Trebuchet MS" w:hAnsi="Trebuchet MS" w:cs="Times New Roman"/>
          <w:sz w:val="24"/>
          <w:szCs w:val="24"/>
          <w:lang w:val="ro-RO"/>
        </w:rPr>
        <w:t>creanţelor</w:t>
      </w:r>
      <w:proofErr w:type="spellEnd"/>
      <w:r w:rsidRPr="00EC3375">
        <w:rPr>
          <w:rFonts w:ascii="Trebuchet MS" w:hAnsi="Trebuchet MS" w:cs="Times New Roman"/>
          <w:sz w:val="24"/>
          <w:szCs w:val="24"/>
          <w:lang w:val="ro-RO"/>
        </w:rPr>
        <w:t xml:space="preserve"> salariale ce rezultă din contractele individuale de muncă </w:t>
      </w:r>
      <w:proofErr w:type="spellStart"/>
      <w:r w:rsidRPr="00EC3375">
        <w:rPr>
          <w:rFonts w:ascii="Trebuchet MS" w:hAnsi="Trebuchet MS" w:cs="Times New Roman"/>
          <w:sz w:val="24"/>
          <w:szCs w:val="24"/>
          <w:lang w:val="ro-RO"/>
        </w:rPr>
        <w:t>şi</w:t>
      </w:r>
      <w:proofErr w:type="spellEnd"/>
      <w:r w:rsidRPr="00EC3375">
        <w:rPr>
          <w:rFonts w:ascii="Trebuchet MS" w:hAnsi="Trebuchet MS" w:cs="Times New Roman"/>
          <w:sz w:val="24"/>
          <w:szCs w:val="24"/>
          <w:lang w:val="ro-RO"/>
        </w:rPr>
        <w:t xml:space="preserve"> din contractele colective de muncă încheiate de </w:t>
      </w:r>
      <w:proofErr w:type="spellStart"/>
      <w:r w:rsidRPr="00EC3375">
        <w:rPr>
          <w:rFonts w:ascii="Trebuchet MS" w:hAnsi="Trebuchet MS" w:cs="Times New Roman"/>
          <w:sz w:val="24"/>
          <w:szCs w:val="24"/>
          <w:lang w:val="ro-RO"/>
        </w:rPr>
        <w:t>salariaţi</w:t>
      </w:r>
      <w:proofErr w:type="spellEnd"/>
      <w:r w:rsidRPr="00EC3375">
        <w:rPr>
          <w:rFonts w:ascii="Trebuchet MS" w:hAnsi="Trebuchet MS" w:cs="Times New Roman"/>
          <w:sz w:val="24"/>
          <w:szCs w:val="24"/>
          <w:lang w:val="ro-RO"/>
        </w:rPr>
        <w:t xml:space="preserve"> cu angajatorii împotriva cărora au fost </w:t>
      </w:r>
      <w:proofErr w:type="spellStart"/>
      <w:r w:rsidRPr="00EC3375">
        <w:rPr>
          <w:rFonts w:ascii="Trebuchet MS" w:hAnsi="Trebuchet MS" w:cs="Times New Roman"/>
          <w:sz w:val="24"/>
          <w:szCs w:val="24"/>
          <w:lang w:val="ro-RO"/>
        </w:rPr>
        <w:t>pronunţate</w:t>
      </w:r>
      <w:proofErr w:type="spellEnd"/>
      <w:r w:rsidRPr="00EC3375">
        <w:rPr>
          <w:rFonts w:ascii="Trebuchet MS" w:hAnsi="Trebuchet MS" w:cs="Times New Roman"/>
          <w:sz w:val="24"/>
          <w:szCs w:val="24"/>
          <w:lang w:val="ro-RO"/>
        </w:rPr>
        <w:t xml:space="preserve"> hotărâri </w:t>
      </w:r>
      <w:proofErr w:type="spellStart"/>
      <w:r w:rsidRPr="00EC3375">
        <w:rPr>
          <w:rFonts w:ascii="Trebuchet MS" w:hAnsi="Trebuchet MS" w:cs="Times New Roman"/>
          <w:sz w:val="24"/>
          <w:szCs w:val="24"/>
          <w:lang w:val="ro-RO"/>
        </w:rPr>
        <w:t>judecătoreşti</w:t>
      </w:r>
      <w:proofErr w:type="spellEnd"/>
      <w:r w:rsidRPr="00EC3375">
        <w:rPr>
          <w:rFonts w:ascii="Trebuchet MS" w:hAnsi="Trebuchet MS" w:cs="Times New Roman"/>
          <w:sz w:val="24"/>
          <w:szCs w:val="24"/>
          <w:lang w:val="ro-RO"/>
        </w:rPr>
        <w:t xml:space="preserve"> definitive de deschidere a procedurii insolvenţei</w:t>
      </w:r>
      <w:r w:rsidR="00EC3375" w:rsidRPr="00EC3375">
        <w:rPr>
          <w:rFonts w:ascii="Trebuchet MS" w:hAnsi="Trebuchet MS" w:cs="Times New Roman"/>
          <w:sz w:val="24"/>
          <w:szCs w:val="24"/>
          <w:lang w:val="ro-RO"/>
        </w:rPr>
        <w:t xml:space="preserve">, </w:t>
      </w:r>
      <w:proofErr w:type="spellStart"/>
      <w:r w:rsidR="00EC3375" w:rsidRPr="00EC3375">
        <w:rPr>
          <w:rFonts w:ascii="Trebuchet MS" w:hAnsi="Trebuchet MS" w:cs="Times New Roman"/>
          <w:sz w:val="24"/>
          <w:szCs w:val="24"/>
          <w:lang w:val="ro-RO"/>
        </w:rPr>
        <w:t>denumiţi</w:t>
      </w:r>
      <w:proofErr w:type="spellEnd"/>
      <w:r w:rsidR="00EC3375" w:rsidRPr="00EC3375">
        <w:rPr>
          <w:rFonts w:ascii="Trebuchet MS" w:hAnsi="Trebuchet MS" w:cs="Times New Roman"/>
          <w:sz w:val="24"/>
          <w:szCs w:val="24"/>
          <w:lang w:val="ro-RO"/>
        </w:rPr>
        <w:t xml:space="preserve"> în continuare </w:t>
      </w:r>
      <w:proofErr w:type="spellStart"/>
      <w:r w:rsidR="00EC3375" w:rsidRPr="00EC3375">
        <w:rPr>
          <w:rFonts w:ascii="Trebuchet MS" w:hAnsi="Trebuchet MS" w:cs="Times New Roman"/>
          <w:sz w:val="24"/>
          <w:szCs w:val="24"/>
          <w:lang w:val="ro-RO"/>
        </w:rPr>
        <w:t>ang</w:t>
      </w:r>
      <w:r w:rsidR="00EC3375">
        <w:rPr>
          <w:rFonts w:ascii="Trebuchet MS" w:hAnsi="Trebuchet MS" w:cs="Times New Roman"/>
          <w:sz w:val="24"/>
          <w:szCs w:val="24"/>
          <w:lang w:val="ro-RO"/>
        </w:rPr>
        <w:t>ajatori</w:t>
      </w:r>
      <w:proofErr w:type="spellEnd"/>
      <w:r w:rsidR="00EC3375">
        <w:rPr>
          <w:rFonts w:ascii="Trebuchet MS" w:hAnsi="Trebuchet MS" w:cs="Times New Roman"/>
          <w:sz w:val="24"/>
          <w:szCs w:val="24"/>
          <w:lang w:val="ro-RO"/>
        </w:rPr>
        <w:t xml:space="preserve"> în stare de </w:t>
      </w:r>
      <w:proofErr w:type="spellStart"/>
      <w:r w:rsidR="00EC3375">
        <w:rPr>
          <w:rFonts w:ascii="Trebuchet MS" w:hAnsi="Trebuchet MS" w:cs="Times New Roman"/>
          <w:sz w:val="24"/>
          <w:szCs w:val="24"/>
          <w:lang w:val="ro-RO"/>
        </w:rPr>
        <w:t>insolvenţă</w:t>
      </w:r>
      <w:proofErr w:type="spellEnd"/>
      <w:r w:rsidR="00EC3375">
        <w:rPr>
          <w:rFonts w:ascii="Trebuchet MS" w:hAnsi="Trebuchet MS" w:cs="Times New Roman"/>
          <w:sz w:val="24"/>
          <w:szCs w:val="24"/>
          <w:lang w:val="ro-RO"/>
        </w:rPr>
        <w:t>.</w:t>
      </w:r>
      <w:r w:rsidR="00EC3375">
        <w:rPr>
          <w:rFonts w:ascii="Trebuchet MS" w:hAnsi="Trebuchet MS"/>
          <w:lang w:val="ro-RO"/>
        </w:rPr>
        <w:t>“</w:t>
      </w:r>
      <w:bookmarkStart w:id="0" w:name="_GoBack"/>
      <w:bookmarkEnd w:id="0"/>
    </w:p>
    <w:p w14:paraId="77CEAE8E" w14:textId="77777777" w:rsidR="002B08B7" w:rsidRPr="00A465B2" w:rsidRDefault="002B08B7" w:rsidP="002B08B7">
      <w:pPr>
        <w:pStyle w:val="al"/>
        <w:spacing w:line="276" w:lineRule="auto"/>
        <w:rPr>
          <w:rFonts w:ascii="Trebuchet MS" w:eastAsia="Times New Roman" w:hAnsi="Trebuchet MS"/>
          <w:b/>
          <w:lang w:val="ro-RO"/>
        </w:rPr>
      </w:pPr>
    </w:p>
    <w:p w14:paraId="4F0B782B" w14:textId="77777777" w:rsidR="002B08B7" w:rsidRPr="00A465B2" w:rsidRDefault="002B08B7" w:rsidP="002B08B7">
      <w:pPr>
        <w:pStyle w:val="al"/>
        <w:spacing w:line="276" w:lineRule="auto"/>
        <w:rPr>
          <w:rFonts w:ascii="Trebuchet MS" w:hAnsi="Trebuchet MS"/>
          <w:b/>
          <w:bCs/>
          <w:lang w:val="ro-RO"/>
        </w:rPr>
      </w:pPr>
      <w:r w:rsidRPr="00A465B2">
        <w:rPr>
          <w:rFonts w:ascii="Trebuchet MS" w:hAnsi="Trebuchet MS"/>
          <w:b/>
          <w:bCs/>
          <w:lang w:val="ro-RO"/>
        </w:rPr>
        <w:t>2. La articolul 19</w:t>
      </w:r>
      <w:r>
        <w:rPr>
          <w:rFonts w:ascii="Trebuchet MS" w:hAnsi="Trebuchet MS"/>
          <w:b/>
          <w:bCs/>
          <w:lang w:val="ro-RO"/>
        </w:rPr>
        <w:t xml:space="preserve">, </w:t>
      </w:r>
      <w:r w:rsidRPr="00A465B2">
        <w:rPr>
          <w:rFonts w:ascii="Trebuchet MS" w:hAnsi="Trebuchet MS"/>
          <w:b/>
          <w:bCs/>
          <w:lang w:val="ro-RO"/>
        </w:rPr>
        <w:t xml:space="preserve"> alineatul 3) se modific</w:t>
      </w:r>
      <w:r>
        <w:rPr>
          <w:rFonts w:ascii="Trebuchet MS" w:hAnsi="Trebuchet MS"/>
          <w:b/>
          <w:bCs/>
          <w:lang w:val="ro-RO"/>
        </w:rPr>
        <w:t>ă</w:t>
      </w:r>
      <w:r w:rsidRPr="00A465B2">
        <w:rPr>
          <w:rFonts w:ascii="Trebuchet MS" w:hAnsi="Trebuchet MS"/>
          <w:b/>
          <w:bCs/>
          <w:lang w:val="ro-RO"/>
        </w:rPr>
        <w:t xml:space="preserve"> </w:t>
      </w:r>
      <w:r>
        <w:rPr>
          <w:rFonts w:ascii="Trebuchet MS" w:hAnsi="Trebuchet MS"/>
          <w:b/>
          <w:bCs/>
          <w:lang w:val="ro-RO"/>
        </w:rPr>
        <w:t>ș</w:t>
      </w:r>
      <w:r w:rsidRPr="00A465B2">
        <w:rPr>
          <w:rFonts w:ascii="Trebuchet MS" w:hAnsi="Trebuchet MS"/>
          <w:b/>
          <w:bCs/>
          <w:lang w:val="ro-RO"/>
        </w:rPr>
        <w:t>i va avea următorul c</w:t>
      </w:r>
      <w:r>
        <w:rPr>
          <w:rFonts w:ascii="Trebuchet MS" w:hAnsi="Trebuchet MS"/>
          <w:b/>
          <w:bCs/>
          <w:lang w:val="ro-RO"/>
        </w:rPr>
        <w:t>uprins</w:t>
      </w:r>
      <w:r w:rsidRPr="00A465B2">
        <w:rPr>
          <w:rFonts w:ascii="Trebuchet MS" w:hAnsi="Trebuchet MS"/>
          <w:b/>
          <w:bCs/>
          <w:lang w:val="ro-RO"/>
        </w:rPr>
        <w:t>:</w:t>
      </w:r>
    </w:p>
    <w:p w14:paraId="060DE9C2" w14:textId="77777777" w:rsidR="002B08B7" w:rsidRPr="00A465B2" w:rsidRDefault="002B08B7" w:rsidP="002B08B7">
      <w:pPr>
        <w:pStyle w:val="al"/>
        <w:spacing w:line="276" w:lineRule="auto"/>
        <w:rPr>
          <w:rFonts w:ascii="Trebuchet MS" w:hAnsi="Trebuchet MS"/>
          <w:b/>
          <w:bCs/>
          <w:lang w:val="ro-RO"/>
        </w:rPr>
      </w:pPr>
    </w:p>
    <w:p w14:paraId="5ECD6CAD" w14:textId="77777777" w:rsidR="002B08B7" w:rsidRPr="00A465B2" w:rsidRDefault="002B08B7" w:rsidP="002B08B7">
      <w:pPr>
        <w:pStyle w:val="al"/>
        <w:spacing w:line="276" w:lineRule="auto"/>
        <w:rPr>
          <w:rFonts w:ascii="Trebuchet MS" w:hAnsi="Trebuchet MS"/>
          <w:lang w:val="ro-RO"/>
        </w:rPr>
      </w:pPr>
      <w:r w:rsidRPr="00A465B2">
        <w:rPr>
          <w:rFonts w:ascii="Trebuchet MS" w:hAnsi="Trebuchet MS"/>
          <w:b/>
          <w:bCs/>
          <w:lang w:val="ro-RO"/>
        </w:rPr>
        <w:t>“</w:t>
      </w:r>
      <w:r w:rsidRPr="00A465B2">
        <w:rPr>
          <w:rFonts w:ascii="Trebuchet MS" w:hAnsi="Trebuchet MS"/>
          <w:lang w:val="ro-RO"/>
        </w:rPr>
        <w:t xml:space="preserve">(3) Cererile prevăzute la </w:t>
      </w:r>
      <w:hyperlink r:id="rId5" w:anchor="p-13871421" w:tgtFrame="_blank" w:history="1">
        <w:r w:rsidRPr="005C246B">
          <w:rPr>
            <w:rStyle w:val="Hyperlink"/>
            <w:rFonts w:ascii="Trebuchet MS" w:hAnsi="Trebuchet MS"/>
            <w:color w:val="auto"/>
            <w:u w:val="none"/>
            <w:lang w:val="ro-RO"/>
          </w:rPr>
          <w:t>alin. (1)</w:t>
        </w:r>
      </w:hyperlink>
      <w:r w:rsidRPr="00A465B2">
        <w:rPr>
          <w:rFonts w:ascii="Trebuchet MS" w:hAnsi="Trebuchet MS"/>
          <w:lang w:val="ro-RO"/>
        </w:rPr>
        <w:t xml:space="preserve"> și </w:t>
      </w:r>
      <w:hyperlink r:id="rId6" w:anchor="p-13871422" w:tgtFrame="_blank" w:history="1">
        <w:r w:rsidRPr="005C246B">
          <w:rPr>
            <w:rStyle w:val="Hyperlink"/>
            <w:rFonts w:ascii="Trebuchet MS" w:hAnsi="Trebuchet MS"/>
            <w:color w:val="auto"/>
            <w:u w:val="none"/>
            <w:lang w:val="ro-RO"/>
          </w:rPr>
          <w:t>(2)</w:t>
        </w:r>
      </w:hyperlink>
      <w:r w:rsidRPr="00A465B2">
        <w:rPr>
          <w:rFonts w:ascii="Trebuchet MS" w:hAnsi="Trebuchet MS"/>
          <w:lang w:val="ro-RO"/>
        </w:rPr>
        <w:t xml:space="preserve"> vor fi însoțite de documente care să ateste că împotriva angajatorului a fost pronunțată o hotărâre judecătorească definitivă de deschidere a procedurii insolvenței.”</w:t>
      </w:r>
    </w:p>
    <w:p w14:paraId="09CF0157" w14:textId="77777777" w:rsidR="002B08B7" w:rsidRPr="00A465B2" w:rsidRDefault="002B08B7" w:rsidP="002B08B7">
      <w:pPr>
        <w:spacing w:line="276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14:paraId="145C54D8" w14:textId="77777777" w:rsidR="009F5373" w:rsidRPr="00A465B2" w:rsidRDefault="009F5373" w:rsidP="001217CC">
      <w:pPr>
        <w:spacing w:line="276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14:paraId="352FAADA" w14:textId="7BBA1774" w:rsidR="002D1A44" w:rsidRPr="00A465B2" w:rsidRDefault="002D1A44" w:rsidP="001217CC">
      <w:pPr>
        <w:pStyle w:val="Heading4"/>
        <w:shd w:val="clear" w:color="auto" w:fill="FFFFFF"/>
        <w:spacing w:before="225" w:after="75" w:line="276" w:lineRule="auto"/>
        <w:rPr>
          <w:rFonts w:ascii="Trebuchet MS" w:hAnsi="Trebuchet MS"/>
          <w:lang w:val="ro-RO"/>
        </w:rPr>
      </w:pPr>
      <w:r w:rsidRPr="00A465B2">
        <w:rPr>
          <w:rFonts w:ascii="Trebuchet MS" w:hAnsi="Trebuchet MS"/>
          <w:lang w:val="ro-RO"/>
        </w:rPr>
        <w:t xml:space="preserve">Art. II. </w:t>
      </w:r>
    </w:p>
    <w:p w14:paraId="1E8771D1" w14:textId="6F70F162" w:rsidR="00A465B2" w:rsidRPr="00A926EA" w:rsidRDefault="00A465B2" w:rsidP="001217CC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A926EA">
        <w:rPr>
          <w:rFonts w:ascii="Trebuchet MS" w:hAnsi="Trebuchet MS" w:cs="Times New Roman"/>
          <w:sz w:val="24"/>
          <w:szCs w:val="24"/>
        </w:rPr>
        <w:t>În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termen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de </w:t>
      </w:r>
      <w:r w:rsidR="002B08B7">
        <w:rPr>
          <w:rFonts w:ascii="Trebuchet MS" w:hAnsi="Trebuchet MS" w:cs="Times New Roman"/>
          <w:sz w:val="24"/>
          <w:szCs w:val="24"/>
        </w:rPr>
        <w:t>6</w:t>
      </w:r>
      <w:r w:rsidRPr="00A926EA">
        <w:rPr>
          <w:rFonts w:ascii="Trebuchet MS" w:hAnsi="Trebuchet MS" w:cs="Times New Roman"/>
          <w:sz w:val="24"/>
          <w:szCs w:val="24"/>
        </w:rPr>
        <w:t xml:space="preserve">0 de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zile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de la data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intrării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în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vigoare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a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prezentei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legi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Ministerul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Muncii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şi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Protecției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Sociale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va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supune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Guvernului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spre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aprobare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modificarea</w:t>
      </w:r>
      <w:proofErr w:type="spellEnd"/>
      <w:r>
        <w:rPr>
          <w:rFonts w:ascii="Trebuchet MS" w:hAnsi="Trebuchet MS" w:cs="Times New Roman"/>
          <w:sz w:val="24"/>
          <w:szCs w:val="24"/>
        </w:rPr>
        <w:t>,</w:t>
      </w:r>
      <w:r w:rsidRPr="00A926E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în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mod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corespunzător</w:t>
      </w:r>
      <w:proofErr w:type="spellEnd"/>
      <w:r>
        <w:rPr>
          <w:rFonts w:ascii="Trebuchet MS" w:hAnsi="Trebuchet MS" w:cs="Times New Roman"/>
          <w:sz w:val="24"/>
          <w:szCs w:val="24"/>
        </w:rPr>
        <w:t>,</w:t>
      </w:r>
      <w:r w:rsidRPr="00A926EA">
        <w:rPr>
          <w:rFonts w:ascii="Trebuchet MS" w:hAnsi="Trebuchet MS" w:cs="Times New Roman"/>
          <w:sz w:val="24"/>
          <w:szCs w:val="24"/>
        </w:rPr>
        <w:t xml:space="preserve"> a </w:t>
      </w:r>
      <w:proofErr w:type="spellStart"/>
      <w:r>
        <w:rPr>
          <w:rFonts w:ascii="Trebuchet MS" w:hAnsi="Trebuchet MS" w:cs="Times New Roman"/>
          <w:sz w:val="24"/>
          <w:szCs w:val="24"/>
        </w:rPr>
        <w:t>Hotărârii</w:t>
      </w:r>
      <w:proofErr w:type="spellEnd"/>
      <w:r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>
        <w:rPr>
          <w:rFonts w:ascii="Trebuchet MS" w:hAnsi="Trebuchet MS" w:cs="Times New Roman"/>
          <w:sz w:val="24"/>
          <w:szCs w:val="24"/>
        </w:rPr>
        <w:t>Guvernului</w:t>
      </w:r>
      <w:proofErr w:type="spellEnd"/>
      <w:r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>
        <w:rPr>
          <w:rFonts w:ascii="Trebuchet MS" w:hAnsi="Trebuchet MS" w:cs="Times New Roman"/>
          <w:sz w:val="24"/>
          <w:szCs w:val="24"/>
        </w:rPr>
        <w:t>nr</w:t>
      </w:r>
      <w:proofErr w:type="spellEnd"/>
      <w:r>
        <w:rPr>
          <w:rFonts w:ascii="Trebuchet MS" w:hAnsi="Trebuchet MS" w:cs="Times New Roman"/>
          <w:sz w:val="24"/>
          <w:szCs w:val="24"/>
        </w:rPr>
        <w:t xml:space="preserve">. </w:t>
      </w:r>
      <w:r w:rsidRPr="00A926EA">
        <w:rPr>
          <w:rFonts w:ascii="Trebuchet MS" w:hAnsi="Trebuchet MS" w:cs="Times New Roman"/>
          <w:sz w:val="24"/>
          <w:szCs w:val="24"/>
        </w:rPr>
        <w:t xml:space="preserve">1850/2006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pentru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aprobarea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Normelor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metodologice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aplicare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a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prevederilor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Legii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nr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. 200/2006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privind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constituirea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şi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utilizarea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Fondului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garantare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pentru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plata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creanţelor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salariale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, cu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modificările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și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completările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926EA">
        <w:rPr>
          <w:rFonts w:ascii="Trebuchet MS" w:hAnsi="Trebuchet MS" w:cs="Times New Roman"/>
          <w:sz w:val="24"/>
          <w:szCs w:val="24"/>
        </w:rPr>
        <w:t>ulterioare</w:t>
      </w:r>
      <w:proofErr w:type="spellEnd"/>
      <w:r w:rsidRPr="00A926EA">
        <w:rPr>
          <w:rFonts w:ascii="Trebuchet MS" w:hAnsi="Trebuchet MS" w:cs="Times New Roman"/>
          <w:sz w:val="24"/>
          <w:szCs w:val="24"/>
        </w:rPr>
        <w:t>.</w:t>
      </w:r>
    </w:p>
    <w:p w14:paraId="4D263192" w14:textId="77777777" w:rsidR="00A465B2" w:rsidRDefault="00A465B2" w:rsidP="00A465B2">
      <w:pPr>
        <w:spacing w:line="276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14:paraId="02305961" w14:textId="77777777" w:rsidR="00FF4E1B" w:rsidRPr="00A465B2" w:rsidRDefault="00FF4E1B" w:rsidP="00A465B2">
      <w:pPr>
        <w:spacing w:line="276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14:paraId="13E1A1E7" w14:textId="77777777" w:rsidR="00382D85" w:rsidRPr="00A465B2" w:rsidRDefault="00382D85" w:rsidP="00A465B2">
      <w:pPr>
        <w:spacing w:line="276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sectPr w:rsidR="00382D85" w:rsidRPr="00A4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1E02"/>
    <w:multiLevelType w:val="hybridMultilevel"/>
    <w:tmpl w:val="E6783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D7FB6"/>
    <w:multiLevelType w:val="hybridMultilevel"/>
    <w:tmpl w:val="E6783A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1B"/>
    <w:rsid w:val="00005F60"/>
    <w:rsid w:val="0000740E"/>
    <w:rsid w:val="000D2DAD"/>
    <w:rsid w:val="001048DF"/>
    <w:rsid w:val="00106032"/>
    <w:rsid w:val="001217CC"/>
    <w:rsid w:val="00142599"/>
    <w:rsid w:val="001A4E8D"/>
    <w:rsid w:val="001E4614"/>
    <w:rsid w:val="00231245"/>
    <w:rsid w:val="0024237D"/>
    <w:rsid w:val="00295B1D"/>
    <w:rsid w:val="002A25DE"/>
    <w:rsid w:val="002B08B7"/>
    <w:rsid w:val="002D1A44"/>
    <w:rsid w:val="002D57EB"/>
    <w:rsid w:val="00370EE7"/>
    <w:rsid w:val="00382D85"/>
    <w:rsid w:val="0049730E"/>
    <w:rsid w:val="005A0534"/>
    <w:rsid w:val="005C246B"/>
    <w:rsid w:val="005F74CF"/>
    <w:rsid w:val="00730E49"/>
    <w:rsid w:val="00746938"/>
    <w:rsid w:val="00747BB9"/>
    <w:rsid w:val="007531F6"/>
    <w:rsid w:val="008006A8"/>
    <w:rsid w:val="008350C7"/>
    <w:rsid w:val="008E0E4D"/>
    <w:rsid w:val="0090246B"/>
    <w:rsid w:val="00950661"/>
    <w:rsid w:val="009F5373"/>
    <w:rsid w:val="00A42A2D"/>
    <w:rsid w:val="00A465B2"/>
    <w:rsid w:val="00AB0863"/>
    <w:rsid w:val="00AF2819"/>
    <w:rsid w:val="00B8531C"/>
    <w:rsid w:val="00C63716"/>
    <w:rsid w:val="00CD2087"/>
    <w:rsid w:val="00EC3375"/>
    <w:rsid w:val="00EF10C4"/>
    <w:rsid w:val="00F32BC4"/>
    <w:rsid w:val="00FD4154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D30F"/>
  <w15:docId w15:val="{13F56CB8-8927-4618-A6AD-5A376BB6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0" w:line="570" w:lineRule="atLeast"/>
      <w:jc w:val="both"/>
      <w:outlineLvl w:val="0"/>
    </w:pPr>
    <w:rPr>
      <w:rFonts w:ascii="Cambria" w:hAnsi="Cambria" w:cs="Times New Roman"/>
      <w:color w:val="2A76A7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hAnsi="Cambria" w:cs="Times New Roman"/>
      <w:color w:val="2A76A7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js-calendar1">
    <w:name w:val="js-calendar1"/>
    <w:basedOn w:val="DefaultParagraphFont"/>
    <w:rPr>
      <w:b/>
      <w:bCs/>
      <w:color w:val="008000"/>
    </w:rPr>
  </w:style>
  <w:style w:type="paragraph" w:customStyle="1" w:styleId="al">
    <w:name w:val="a_l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mg">
    <w:name w:val="cmg"/>
    <w:basedOn w:val="DefaultParagraphFont"/>
  </w:style>
  <w:style w:type="paragraph" w:styleId="ListParagraph">
    <w:name w:val="List Paragraph"/>
    <w:basedOn w:val="Normal"/>
    <w:uiPriority w:val="34"/>
    <w:qFormat/>
    <w:rsid w:val="000D2DAD"/>
    <w:pPr>
      <w:ind w:left="720"/>
      <w:contextualSpacing/>
    </w:pPr>
  </w:style>
  <w:style w:type="paragraph" w:customStyle="1" w:styleId="doc-ti">
    <w:name w:val="doc-ti"/>
    <w:basedOn w:val="Normal"/>
    <w:rsid w:val="0029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B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BC4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65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3038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e5.ro/App/Document/ha3dgobx/legea-nr-200-2006-privind-constituirea-si-utilizarea-fondului-de-garantare-pentru-plata-creantelor-salariale?pid=13871422&amp;d=2019-10-02" TargetMode="External"/><Relationship Id="rId5" Type="http://schemas.openxmlformats.org/officeDocument/2006/relationships/hyperlink" Target="http://lege5.ro/App/Document/ha3dgobx/legea-nr-200-2006-privind-constituirea-si-utilizarea-fondului-de-garantare-pentru-plata-creantelor-salariale?pid=13871421&amp;d=2019-10-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cristi.mihai</dc:creator>
  <cp:lastModifiedBy>Auras Marinescu</cp:lastModifiedBy>
  <cp:revision>5</cp:revision>
  <cp:lastPrinted>2020-10-05T12:39:00Z</cp:lastPrinted>
  <dcterms:created xsi:type="dcterms:W3CDTF">2020-10-06T11:32:00Z</dcterms:created>
  <dcterms:modified xsi:type="dcterms:W3CDTF">2020-11-12T14:56:00Z</dcterms:modified>
</cp:coreProperties>
</file>