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3" w:rsidRPr="00431D48" w:rsidRDefault="00EB74D3" w:rsidP="00657343">
      <w:pPr>
        <w:autoSpaceDE w:val="0"/>
        <w:autoSpaceDN w:val="0"/>
        <w:adjustRightInd w:val="0"/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:rsidR="004D4AA0" w:rsidRPr="00431D48" w:rsidRDefault="0071553A" w:rsidP="00657343">
      <w:pPr>
        <w:autoSpaceDE w:val="0"/>
        <w:autoSpaceDN w:val="0"/>
        <w:adjustRightInd w:val="0"/>
        <w:spacing w:line="276" w:lineRule="auto"/>
        <w:ind w:right="-65"/>
        <w:jc w:val="center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NOTA DE FUNDAMENTARE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70"/>
        <w:gridCol w:w="1274"/>
        <w:gridCol w:w="1134"/>
        <w:gridCol w:w="1134"/>
        <w:gridCol w:w="1134"/>
        <w:gridCol w:w="992"/>
      </w:tblGrid>
      <w:tr w:rsidR="009F3C6F" w:rsidRPr="00431D48" w:rsidTr="004975E0">
        <w:tc>
          <w:tcPr>
            <w:tcW w:w="10774" w:type="dxa"/>
            <w:gridSpan w:val="7"/>
          </w:tcPr>
          <w:p w:rsidR="007431E7" w:rsidRPr="00431D48" w:rsidRDefault="000379B6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Secțiunea</w:t>
            </w:r>
            <w:r w:rsidR="007431E7" w:rsidRPr="00431D48">
              <w:rPr>
                <w:rFonts w:ascii="Trebuchet MS" w:hAnsi="Trebuchet MS"/>
                <w:b/>
                <w:sz w:val="22"/>
                <w:szCs w:val="22"/>
              </w:rPr>
              <w:t xml:space="preserve"> 1</w:t>
            </w:r>
          </w:p>
          <w:p w:rsidR="00EF5894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Titlul proiectului de act normativ</w:t>
            </w:r>
            <w:r w:rsidR="00384F42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:rsidR="00B20F02" w:rsidRPr="00431D48" w:rsidRDefault="00B20F0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</w:pPr>
          </w:p>
          <w:p w:rsidR="00CE4E26" w:rsidRPr="00431D48" w:rsidRDefault="005B6FD5" w:rsidP="00657343">
            <w:pPr>
              <w:autoSpaceDE w:val="0"/>
              <w:autoSpaceDN w:val="0"/>
              <w:adjustRightInd w:val="0"/>
              <w:spacing w:line="276" w:lineRule="auto"/>
              <w:ind w:left="1198" w:right="-65" w:hanging="851"/>
              <w:jc w:val="center"/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</w:pPr>
            <w:r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>Hotărâre</w:t>
            </w:r>
            <w:r w:rsidR="00EB23E0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 xml:space="preserve"> a Guvernului</w:t>
            </w:r>
            <w:r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 xml:space="preserve"> </w:t>
            </w:r>
            <w:r w:rsidR="00431D48" w:rsidRPr="00431D48">
              <w:rPr>
                <w:rFonts w:ascii="Trebuchet MS" w:eastAsia="Calibri" w:hAnsi="Trebuchet MS"/>
                <w:b/>
                <w:sz w:val="22"/>
                <w:szCs w:val="22"/>
                <w:lang w:eastAsia="ro-RO"/>
              </w:rPr>
              <w:t>pentru modificarea Normelor metodologice de aplicare a Legii nr. 200/2006 privind constituirea şi utilizarea Fondului de garantare pentru plata creanţelor salariale, aprobate prin Hotărârea Guvernului nr. 1850/2006</w:t>
            </w: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7065E9" w:rsidRPr="00431D48" w:rsidRDefault="007065E9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431E7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2-a</w:t>
            </w:r>
          </w:p>
          <w:p w:rsidR="003A25D6" w:rsidRPr="00431D48" w:rsidRDefault="007431E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Motivul emiterii actului normativ</w:t>
            </w:r>
          </w:p>
          <w:p w:rsidR="00A22D1C" w:rsidRPr="00431D48" w:rsidRDefault="00A22D1C" w:rsidP="00EB23E0">
            <w:pPr>
              <w:spacing w:after="120"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B23E0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EB23E0" w:rsidRPr="00EB23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Descrierea </w:t>
            </w:r>
            <w:r w:rsidR="0087635A"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>situației</w:t>
            </w:r>
            <w:r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actuale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431D48" w:rsidRDefault="00431D48" w:rsidP="00780979">
            <w:pPr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Prin dispoziţiile Ordonanței de </w:t>
            </w:r>
            <w:r>
              <w:rPr>
                <w:rFonts w:ascii="Trebuchet MS" w:hAnsi="Trebuchet MS"/>
                <w:sz w:val="22"/>
                <w:szCs w:val="22"/>
              </w:rPr>
              <w:t>u</w:t>
            </w:r>
            <w:r w:rsidRPr="00431D48">
              <w:rPr>
                <w:rFonts w:ascii="Trebuchet MS" w:hAnsi="Trebuchet MS"/>
                <w:sz w:val="22"/>
                <w:szCs w:val="22"/>
              </w:rPr>
              <w:t>rgență a Guvernului nr. …/202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pentru modificarea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şi completarea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Legii nr. 200/2006 privind constituirea şi utilizarea Fondului de garantare pentru plata creanţelor salariale, publicată în Monitorul Oficial al României, Partea I, nr. … din … februarie 202</w:t>
            </w:r>
            <w:r>
              <w:rPr>
                <w:rFonts w:ascii="Trebuchet MS" w:hAnsi="Trebuchet MS"/>
                <w:sz w:val="22"/>
                <w:szCs w:val="22"/>
              </w:rPr>
              <w:t xml:space="preserve">1, cadrul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general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de reglementare a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condiţiilor privind constituirea, gestionarea, utilizarea şi controlul Fondului de garantare pen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tru plata creanţelor salariale, </w:t>
            </w: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reprezentat de Legea nr. 200/2006 privind constituirea şi utilizarea Fondului de garantare pentru plata creanţelor salariale, cu modificările ulterioare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, a fost modificat şi completat.</w:t>
            </w:r>
          </w:p>
          <w:p w:rsidR="00780979" w:rsidRDefault="00780979" w:rsidP="00AE7598">
            <w:pPr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Potrivit art. III din ordonanţa de urgenţă invocată, î</w:t>
            </w:r>
            <w:r w:rsidRPr="00780979">
              <w:rPr>
                <w:rFonts w:ascii="Trebuchet MS" w:hAnsi="Trebuchet MS"/>
                <w:color w:val="000000" w:themeColor="text1"/>
                <w:sz w:val="22"/>
                <w:szCs w:val="22"/>
              </w:rPr>
              <w:t>n termen de 5 de zile de la data intrării în vigoare, Guvernul va modifica, în mod corespunzător, Normele metodologice de aplicare a Legii nr. 200/2006 privind constituirea şi utilizarea Fondului de garantare pentru plata creanţelor salariale, aprobate prin Hotărârea Guvernului nr. 1850/2006, cu modificările ulterioare.</w:t>
            </w:r>
          </w:p>
          <w:p w:rsidR="003C2537" w:rsidRDefault="00AE7598" w:rsidP="00AE7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În conformitate cu prevederile articolului invocat,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în vederea asigurării implementării în mod corespunzător a prevederilor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Legii nr. 200/2006 privind constituirea şi utilizarea Fondului de garantare pentru plata creanţelor salariale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cu modificările şi completările aduse prin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Ordonanț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a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 urgență a Guvernului nr. …/2021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a fost elaborat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prezentul proiect</w:t>
            </w:r>
            <w:r w:rsidR="002C47D4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hotărâre a Guvernului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  <w:p w:rsidR="001F42AB" w:rsidRPr="00431D48" w:rsidRDefault="00AE7598" w:rsidP="003C2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F3C6F" w:rsidRPr="00431D48" w:rsidTr="004975E0">
        <w:trPr>
          <w:trHeight w:val="416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0" w:rsidRDefault="00EB23E0" w:rsidP="00EB23E0">
            <w:pPr>
              <w:tabs>
                <w:tab w:val="left" w:pos="1995"/>
              </w:tabs>
              <w:spacing w:after="120" w:line="276" w:lineRule="auto"/>
              <w:ind w:right="-72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DF2F9A" w:rsidRDefault="00B20F02" w:rsidP="00EB23E0">
            <w:pPr>
              <w:tabs>
                <w:tab w:val="left" w:pos="1995"/>
              </w:tabs>
              <w:spacing w:after="120" w:line="276" w:lineRule="auto"/>
              <w:ind w:right="-72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EB23E0">
              <w:rPr>
                <w:rFonts w:ascii="Trebuchet MS" w:hAnsi="Trebuchet MS"/>
                <w:b/>
                <w:sz w:val="22"/>
                <w:szCs w:val="22"/>
              </w:rPr>
              <w:t>2.</w:t>
            </w:r>
            <w:r w:rsidR="00EB23E0" w:rsidRPr="00EB23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72FF7" w:rsidRPr="00431D4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Schimbări preconizate </w:t>
            </w:r>
          </w:p>
          <w:p w:rsidR="003C2537" w:rsidRDefault="005B6FD5" w:rsidP="005B6FD5">
            <w:pPr>
              <w:snapToGrid w:val="0"/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Proiectul  de act normativ are ca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obiect</w:t>
            </w: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modificarea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Normel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or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metodologice de aplicare a Legii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nr. 200/2006 privind constituirea şi utilizarea Fondului de garantare pentru plata creanţelor salariale, aprobate prin Hotărârea Guvernului nr. 1850/2006, cu modificările ulterioare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</w:p>
          <w:p w:rsidR="00417A0A" w:rsidRDefault="005B6FD5" w:rsidP="00417A0A">
            <w:pPr>
              <w:snapToGrid w:val="0"/>
              <w:spacing w:after="120"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Astfel, 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având în vedere că perioada de 3 luni calendaristice prevăzută la art. 15 alin. (1) din lege, pentru care se suportă c</w:t>
            </w:r>
            <w:r w:rsidR="00417A0A" w:rsidRP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reanţele salariale prevăzute la art. 13 alin. (1) lit. a), c), d) şi e)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din lege, nu se mai raportează la data deschiderii procedurii insolvenţei, ci este perioada anterioară datei la care se solicită acordarea drepturilor, prin </w:t>
            </w:r>
            <w:r w:rsidR="00417A0A" w:rsidRP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proiectul de act normativ se dispune abrogarea </w:t>
            </w:r>
            <w:r w:rsidR="00417A0A">
              <w:rPr>
                <w:rFonts w:ascii="Trebuchet MS" w:hAnsi="Trebuchet MS"/>
                <w:color w:val="000000" w:themeColor="text1"/>
                <w:sz w:val="22"/>
                <w:szCs w:val="22"/>
              </w:rPr>
              <w:t>art. 7 din normele metodologice.</w:t>
            </w:r>
          </w:p>
          <w:p w:rsidR="003C2537" w:rsidRDefault="00417A0A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De asemenea,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în considerarea elimin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ării 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condiți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prevăzută la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teza a doua a art. 2 din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Legea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nr. 200/2006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cu modificările ulterioare, referitoare la 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ridic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area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total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sau parţial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 dreptului de administrare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al angajatorilor în stare de insolvenţă</w:t>
            </w:r>
            <w:r w:rsidR="003C2537" w:rsidRP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</w:t>
            </w:r>
            <w:r w:rsidR="003C2537">
              <w:rPr>
                <w:rFonts w:ascii="Trebuchet MS" w:hAnsi="Trebuchet MS"/>
                <w:color w:val="000000" w:themeColor="text1"/>
                <w:sz w:val="22"/>
                <w:szCs w:val="22"/>
              </w:rPr>
              <w:t>prin dispoziţiile proiectului de act normativ se dispune abrogarea literei b) a alineatului (1) al articolului 10 din normele metodologice şi modificarea în mod corespunzător a alineatelor (2), (3) şi (4) ale aceluiaşi articol.</w:t>
            </w:r>
          </w:p>
          <w:p w:rsidR="003C2537" w:rsidRDefault="003C2537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3C2537" w:rsidRDefault="003C2537" w:rsidP="003C2537">
            <w:pPr>
              <w:snapToGrid w:val="0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58671A" w:rsidRDefault="00417A0A" w:rsidP="00EB23E0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lastRenderedPageBreak/>
              <w:t>Din acelaşi considerent, prin proiectul de act normativ se dispune şi modificarea A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>nex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5B6FD5" w:rsidRPr="00431D4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nr. 1 la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normele metodologice, în sensul eliminării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dintre documentele prevăzute în </w:t>
            </w:r>
            <w:r w:rsidR="00EB23E0" w:rsidRP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>Cererea pentru stabilirea cuantumului şi plata creanţelor ce se suportă din Fondul de garantare pentru plata creanţelor salariale, a copi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>ei</w:t>
            </w:r>
            <w:r w:rsidR="00EB23E0" w:rsidRP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de pe hotărârea judecătorească prin care s-a dispus măsura ridicării parţiale sau totale a dreptului de administrare</w:t>
            </w:r>
            <w:r w:rsidR="00EB23E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 angajatorului în stare de insolvenţă.</w:t>
            </w:r>
          </w:p>
          <w:p w:rsidR="00EB23E0" w:rsidRPr="00EB23E0" w:rsidRDefault="00EB23E0" w:rsidP="00EB23E0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</w:tcBorders>
          </w:tcPr>
          <w:p w:rsidR="00B61C4F" w:rsidRPr="00431D48" w:rsidRDefault="00B20F0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lastRenderedPageBreak/>
              <w:t>3.</w:t>
            </w:r>
            <w:r w:rsidR="00072FF7" w:rsidRPr="00431D48">
              <w:rPr>
                <w:rFonts w:ascii="Trebuchet MS" w:hAnsi="Trebuchet MS"/>
                <w:b/>
                <w:sz w:val="22"/>
                <w:szCs w:val="22"/>
              </w:rPr>
              <w:t xml:space="preserve">Alte informaţii </w:t>
            </w:r>
          </w:p>
          <w:p w:rsidR="00331909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</w:t>
            </w:r>
            <w:r w:rsidR="00BF4FEC" w:rsidRPr="00431D48">
              <w:rPr>
                <w:rFonts w:ascii="Trebuchet MS" w:hAnsi="Trebuchet MS"/>
                <w:sz w:val="22"/>
                <w:szCs w:val="22"/>
              </w:rPr>
              <w:t>ste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cazul</w:t>
            </w:r>
            <w:r w:rsidR="001A4D14" w:rsidRPr="00431D4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072FF7" w:rsidRPr="00431D48" w:rsidRDefault="00072FF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3-a</w:t>
            </w:r>
          </w:p>
          <w:p w:rsidR="00B20F02" w:rsidRPr="00431D48" w:rsidRDefault="00072FF7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Impactul socioeconomic al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 Impactul macroeconomic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A96781" w:rsidRPr="00431D48" w:rsidRDefault="00AA1108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  <w:vertAlign w:val="superscript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. Impactul asupra mediului concurenţial şi domeniului ajutoarelor de stat: </w:t>
            </w:r>
          </w:p>
          <w:p w:rsidR="00A96781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2. Impactul asupra mediului de afaceri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A96781"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A96781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4D4AA0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Pr="00431D48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1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Impactul asupra sarcinilor administrative: </w:t>
            </w:r>
          </w:p>
          <w:p w:rsidR="004D4AA0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4D4AA0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Pr="00431D48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2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Impactul asupra întreprinderilor mici </w:t>
            </w:r>
            <w:r w:rsidR="000A1388" w:rsidRPr="00431D48">
              <w:rPr>
                <w:rFonts w:ascii="Trebuchet MS" w:hAnsi="Trebuchet MS"/>
                <w:b/>
                <w:sz w:val="22"/>
                <w:szCs w:val="22"/>
              </w:rPr>
              <w:t>ş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i mijlocii: </w:t>
            </w:r>
          </w:p>
          <w:p w:rsidR="004D4AA0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3. Impactul social</w:t>
            </w:r>
            <w:r w:rsidR="00A96781" w:rsidRPr="00431D48"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  <w:p w:rsidR="00A96781" w:rsidRPr="00431D48" w:rsidRDefault="00112F45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61C4F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4. Impactul asupra mediului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8A29F1" w:rsidRPr="00431D48" w:rsidRDefault="00072FF7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</w:t>
            </w:r>
            <w:r w:rsidR="00BF4FEC" w:rsidRPr="00431D48">
              <w:rPr>
                <w:rFonts w:ascii="Trebuchet MS" w:hAnsi="Trebuchet MS"/>
                <w:sz w:val="22"/>
                <w:szCs w:val="22"/>
              </w:rPr>
              <w:t>ste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cazul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00396C" w:rsidRPr="00431D48" w:rsidRDefault="00072FF7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Alte informaţii</w:t>
            </w:r>
            <w:r w:rsidR="00F923F0" w:rsidRPr="00431D4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9F3C6F" w:rsidRPr="00431D48" w:rsidTr="006716B1">
        <w:trPr>
          <w:trHeight w:val="168"/>
        </w:trPr>
        <w:tc>
          <w:tcPr>
            <w:tcW w:w="10774" w:type="dxa"/>
            <w:gridSpan w:val="7"/>
          </w:tcPr>
          <w:p w:rsidR="006716B1" w:rsidRPr="00431D48" w:rsidRDefault="006716B1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</w:t>
            </w:r>
            <w:r w:rsidR="003C3F51" w:rsidRPr="00431D48">
              <w:rPr>
                <w:rFonts w:ascii="Trebuchet MS" w:hAnsi="Trebuchet MS"/>
                <w:b/>
                <w:sz w:val="22"/>
                <w:szCs w:val="22"/>
              </w:rPr>
              <w:t>ţ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iunea a 4-a</w:t>
            </w:r>
          </w:p>
          <w:p w:rsidR="00AD58C1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Impactul financiar asupra bugetului general consolidat,</w:t>
            </w:r>
            <w:r w:rsidR="00953512"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atât pe termen scurt, pentru anul curent, cât şi pe termen lung (pe 5 ani)</w:t>
            </w:r>
          </w:p>
        </w:tc>
      </w:tr>
      <w:tr w:rsidR="009F3C6F" w:rsidRPr="00431D48" w:rsidTr="004975E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-  mii lei -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Indicatori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Anul curent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Următorii 4 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Media pe 5 ani 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Modificări ale veniturilor bugetare, plus/minus, din care:</w:t>
            </w:r>
          </w:p>
          <w:p w:rsidR="00FF4E1A" w:rsidRPr="00431D48" w:rsidRDefault="00FF4E1A" w:rsidP="00657343">
            <w:pPr>
              <w:spacing w:line="276" w:lineRule="auto"/>
              <w:ind w:left="432" w:hanging="450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a) buget de stat, din acesta:</w:t>
            </w:r>
          </w:p>
          <w:p w:rsidR="00FF4E1A" w:rsidRPr="00431D48" w:rsidRDefault="00FF4E1A" w:rsidP="00657343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FF4E1A" w:rsidRPr="00431D48" w:rsidRDefault="00FF4E1A" w:rsidP="00657343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venit</w:t>
            </w:r>
          </w:p>
          <w:p w:rsidR="00FF4E1A" w:rsidRPr="00431D48" w:rsidRDefault="00FF4E1A" w:rsidP="00657343">
            <w:pPr>
              <w:spacing w:line="276" w:lineRule="auto"/>
              <w:ind w:left="432" w:hanging="43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b) bugete locale:</w:t>
            </w:r>
          </w:p>
          <w:p w:rsidR="00FF4E1A" w:rsidRPr="00431D48" w:rsidRDefault="00FF4E1A" w:rsidP="00657343">
            <w:pPr>
              <w:numPr>
                <w:ilvl w:val="0"/>
                <w:numId w:val="9"/>
              </w:numPr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FF4E1A" w:rsidRPr="00431D48" w:rsidRDefault="00FF4E1A" w:rsidP="00657343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stat:</w:t>
            </w:r>
          </w:p>
          <w:p w:rsidR="00FF4E1A" w:rsidRPr="00431D48" w:rsidRDefault="00FF4E1A" w:rsidP="00657343">
            <w:pPr>
              <w:numPr>
                <w:ilvl w:val="0"/>
                <w:numId w:val="10"/>
              </w:numPr>
              <w:spacing w:line="276" w:lineRule="auto"/>
              <w:ind w:left="522" w:hanging="16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contribuţii de asigurări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F4E1A" w:rsidRPr="00431D48" w:rsidRDefault="00FF4E1A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0755B" w:rsidRPr="00431D48" w:rsidRDefault="00A0755B" w:rsidP="00657343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2.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Modificări ale cheltuielilor bugetare, plus/minus, din care: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 de stat, din acesta:</w:t>
            </w:r>
          </w:p>
          <w:p w:rsidR="00952C8D" w:rsidRPr="00431D48" w:rsidRDefault="00952C8D" w:rsidP="00657343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lastRenderedPageBreak/>
              <w:t>cheltuieli de personal</w:t>
            </w:r>
          </w:p>
          <w:p w:rsidR="00B71A29" w:rsidRPr="00431D48" w:rsidRDefault="00952C8D" w:rsidP="00ED052D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bunuri şi servicii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bugete locale:</w:t>
            </w:r>
          </w:p>
          <w:p w:rsidR="00952C8D" w:rsidRPr="00431D48" w:rsidRDefault="00B71A29" w:rsidP="00657343">
            <w:pPr>
              <w:numPr>
                <w:ilvl w:val="0"/>
                <w:numId w:val="7"/>
              </w:numPr>
              <w:spacing w:line="276" w:lineRule="auto"/>
              <w:ind w:left="522"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impozit pe profit</w:t>
            </w:r>
          </w:p>
          <w:p w:rsidR="00952C8D" w:rsidRPr="00431D48" w:rsidRDefault="00952C8D" w:rsidP="00657343">
            <w:pPr>
              <w:numPr>
                <w:ilvl w:val="0"/>
                <w:numId w:val="6"/>
              </w:numPr>
              <w:spacing w:line="276" w:lineRule="auto"/>
              <w:ind w:left="252" w:hanging="252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stat:</w:t>
            </w:r>
          </w:p>
          <w:p w:rsidR="00952C8D" w:rsidRPr="00431D48" w:rsidRDefault="00B71A29" w:rsidP="00657343">
            <w:pPr>
              <w:numPr>
                <w:ilvl w:val="0"/>
                <w:numId w:val="8"/>
              </w:numPr>
              <w:spacing w:line="276" w:lineRule="auto"/>
              <w:ind w:hanging="18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contribuții de asigurări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rPr>
          <w:trHeight w:val="13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Impact financiar, plus/minus, din care:</w:t>
            </w:r>
          </w:p>
          <w:p w:rsidR="00952C8D" w:rsidRPr="00431D48" w:rsidRDefault="00A22C72" w:rsidP="00657343">
            <w:pPr>
              <w:spacing w:line="276" w:lineRule="auto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 xml:space="preserve">      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</w:rPr>
              <w:t>a)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  <w:vertAlign w:val="superscript"/>
              </w:rPr>
              <w:t xml:space="preserve"> </w:t>
            </w:r>
            <w:r w:rsidR="00952C8D" w:rsidRPr="00431D48">
              <w:rPr>
                <w:rFonts w:ascii="Trebuchet MS" w:hAnsi="Trebuchet MS"/>
                <w:i/>
                <w:sz w:val="22"/>
                <w:szCs w:val="22"/>
              </w:rPr>
              <w:t>buget de stat</w:t>
            </w:r>
          </w:p>
          <w:p w:rsidR="00952C8D" w:rsidRPr="00431D48" w:rsidRDefault="00952C8D" w:rsidP="00657343">
            <w:pPr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bugete locale</w:t>
            </w:r>
          </w:p>
          <w:p w:rsidR="00A22C72" w:rsidRPr="00431D48" w:rsidRDefault="00A22C72" w:rsidP="00657343">
            <w:pPr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Cs/>
                <w:i/>
                <w:sz w:val="22"/>
                <w:szCs w:val="22"/>
              </w:rPr>
            </w:pPr>
            <w:r w:rsidRPr="00431D48">
              <w:rPr>
                <w:rFonts w:ascii="Trebuchet MS" w:hAnsi="Trebuchet MS"/>
                <w:i/>
                <w:sz w:val="22"/>
                <w:szCs w:val="22"/>
              </w:rPr>
              <w:t>bugetul asigurărilor sociale de stat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436B16" w:rsidRPr="00431D48" w:rsidRDefault="00436B16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22C72" w:rsidRPr="00431D48" w:rsidRDefault="00A22C72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bCs/>
                <w:sz w:val="22"/>
                <w:szCs w:val="22"/>
              </w:rPr>
              <w:t>4.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Propuneri pentru acoperirea creşterii cheltuielilor bugetare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6404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Propuneri pentru a compensa reducerea veniturilor bugetare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4975E0">
        <w:trPr>
          <w:trHeight w:val="7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8D" w:rsidRPr="00431D48" w:rsidRDefault="00952C8D" w:rsidP="00657343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6. Calcule detaliate privind fundamentarea modificărilor veniturilor şi/sau cheltuielilor bugetare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FD" w:rsidRPr="00431D48" w:rsidRDefault="00EE7DFD" w:rsidP="00657343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FF7D8F" w:rsidRPr="00431D48" w:rsidRDefault="008D4389" w:rsidP="00657343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431D48"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9F3C6F" w:rsidRPr="00431D48" w:rsidTr="004975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8D" w:rsidRPr="00431D48" w:rsidRDefault="00952C8D" w:rsidP="0065734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7. Alte informaţii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08" w:rsidRPr="00431D48" w:rsidRDefault="002E6708" w:rsidP="00657343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5-a</w:t>
            </w:r>
          </w:p>
          <w:p w:rsidR="00D0142F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Efectele proiectului de act normativ asupra </w:t>
            </w:r>
            <w:r w:rsidR="0078619E" w:rsidRPr="00431D48">
              <w:rPr>
                <w:rFonts w:ascii="Trebuchet MS" w:hAnsi="Trebuchet MS"/>
                <w:b/>
                <w:sz w:val="22"/>
                <w:szCs w:val="22"/>
              </w:rPr>
              <w:t>legislației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în vigoare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1. Măsuri normative necesare pentru aplicarea prevederilor proiectului de act normativ: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a) acte normative în vigoare ce vor fi modificate sau abrogate, ca urmare a intrării în vigoare a proiectului de act normativ: 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</w:p>
          <w:p w:rsidR="005B6FD5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b) acte normative ce urmează a fi elaborate în vederea implementării noilor dispoziţii: </w:t>
            </w:r>
          </w:p>
          <w:p w:rsidR="00F92E54" w:rsidRPr="00431D48" w:rsidRDefault="005B6FD5" w:rsidP="005B6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  <w:vertAlign w:val="superscript"/>
              </w:rPr>
              <w:t>1</w:t>
            </w: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. Compatibilitatea proiectului de act normativ cu legislaţia în domeniul achiziţiilor publice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a) impact legislativ - prevederi de modificare şi completare a cadrului normativ în domeniul achiziţiilor publice, prevederi derogatorii;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2. Conformitatea proiectului de act normativ cu legislaţia comunitară în cazul proiectelor ce transpun prevederi comunitare: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 xml:space="preserve"> 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3. Măsuri normative necesare aplicării directe a actelor normative comunitare: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4. Hotărâri ale Curţii de Justiţie a Uniunii Europene: 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5. Alte acte normative şi/sau documente internaţionale din care decurg angajamente, făcându-se referire la un anume acord, o anume rezoluţie sau recomandare internaţională ori la alt document al unei organizaţii internaţionale: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6. Alte informaţii: </w:t>
            </w:r>
          </w:p>
          <w:p w:rsidR="00331909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iCs/>
                <w:sz w:val="22"/>
                <w:szCs w:val="22"/>
              </w:rPr>
              <w:t>N</w:t>
            </w:r>
            <w:r w:rsidRPr="00431D48">
              <w:rPr>
                <w:rFonts w:ascii="Trebuchet MS" w:hAnsi="Trebuchet MS"/>
                <w:iCs/>
                <w:sz w:val="22"/>
                <w:szCs w:val="22"/>
              </w:rPr>
              <w:t>u este cazul</w:t>
            </w:r>
          </w:p>
          <w:p w:rsidR="00ED052D" w:rsidRPr="00431D48" w:rsidRDefault="00ED052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lastRenderedPageBreak/>
              <w:t>Secţiunea a 6-a</w:t>
            </w:r>
          </w:p>
          <w:p w:rsidR="00D0142F" w:rsidRPr="00431D48" w:rsidRDefault="00952C8D" w:rsidP="00657343">
            <w:pPr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Consultările efectuate în vederea elaborării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right="-65" w:firstLine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Informaţii privind procesul de consultare cu organizaţii neguvernamentale, institute de cercetare şi alte organisme implicate: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E5082"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2. Fundamentarea alegerii organizaţiilor cu care a avut loc consultarea, precum şi a modului în care activitatea acestor organizaţii este legată de obiectul proiectului de act normativ: </w:t>
            </w:r>
          </w:p>
          <w:p w:rsidR="008E5082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3. Consultările organizate cu autorităţile administraţiei publice locale,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  <w:r w:rsidR="00B20F02" w:rsidRPr="00431D4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8E5082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4. Consultările desfăşurate în cadrul consiliilor interministeriale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431D48">
              <w:rPr>
                <w:rFonts w:ascii="Trebuchet MS" w:hAnsi="Trebuchet MS"/>
                <w:b/>
                <w:sz w:val="22"/>
                <w:szCs w:val="22"/>
              </w:rPr>
              <w:t>în conformitate cu prevederile Hotărârii Guvernului nr. 750/2005 privind constituirea consiliilor interministeriale permanente</w:t>
            </w:r>
          </w:p>
          <w:p w:rsidR="00952C8D" w:rsidRPr="00431D48" w:rsidRDefault="008E5082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5. Informaţii privind avizarea de către: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a) Consiliul Legislativ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b) Consiliul Suprem de Apărare a Ţării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c) Consiliul Economic şi Social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d) Consiliul Concurenţei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e) Curtea de Conturi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Proiectul de act normativ va fi supus avizării Consiliului Legislativ</w:t>
            </w:r>
            <w:r w:rsidR="008A08B3" w:rsidRPr="00431D48">
              <w:rPr>
                <w:rFonts w:ascii="Trebuchet MS" w:hAnsi="Trebuchet MS"/>
                <w:sz w:val="22"/>
                <w:szCs w:val="22"/>
              </w:rPr>
              <w:t xml:space="preserve"> și Consiliului Economic și Social.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6. Alte informaţii: </w:t>
            </w:r>
          </w:p>
          <w:p w:rsidR="00AD58C1" w:rsidRPr="00431D48" w:rsidRDefault="00952C8D" w:rsidP="00657343">
            <w:pPr>
              <w:tabs>
                <w:tab w:val="left" w:pos="3735"/>
              </w:tabs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cazul.</w:t>
            </w:r>
            <w:r w:rsidR="00AD58C1" w:rsidRPr="00431D48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7-a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Activităţi de informare publică privind elaborarea</w:t>
            </w:r>
          </w:p>
          <w:p w:rsidR="00D0142F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şi implementarea proiectului de act normativ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F92E54" w:rsidP="00657343">
            <w:pPr>
              <w:autoSpaceDE w:val="0"/>
              <w:autoSpaceDN w:val="0"/>
              <w:adjustRightInd w:val="0"/>
              <w:spacing w:line="276" w:lineRule="auto"/>
              <w:ind w:left="34"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952C8D" w:rsidRPr="00431D48">
              <w:rPr>
                <w:rFonts w:ascii="Trebuchet MS" w:hAnsi="Trebuchet MS"/>
                <w:b/>
                <w:sz w:val="22"/>
                <w:szCs w:val="22"/>
              </w:rPr>
              <w:t xml:space="preserve">Informarea societăţii civile cu privire la necesitatea elaborării proiectului de act normativ. </w:t>
            </w:r>
          </w:p>
          <w:p w:rsidR="00952C8D" w:rsidRPr="00431D48" w:rsidRDefault="008763A4" w:rsidP="00657343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 xml:space="preserve">Proiectul de </w:t>
            </w:r>
            <w:r w:rsidR="00A67B20" w:rsidRPr="00431D48">
              <w:rPr>
                <w:rFonts w:ascii="Trebuchet MS" w:hAnsi="Trebuchet MS"/>
                <w:sz w:val="22"/>
                <w:szCs w:val="22"/>
              </w:rPr>
              <w:t>ac</w:t>
            </w:r>
            <w:r w:rsidRPr="00431D48">
              <w:rPr>
                <w:rFonts w:ascii="Trebuchet MS" w:hAnsi="Trebuchet MS"/>
                <w:sz w:val="22"/>
                <w:szCs w:val="22"/>
              </w:rPr>
              <w:t>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F92E54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</w:t>
            </w:r>
            <w:r w:rsidR="00952C8D" w:rsidRPr="00431D48">
              <w:rPr>
                <w:rFonts w:ascii="Trebuchet MS" w:hAnsi="Trebuchet MS"/>
                <w:b/>
                <w:sz w:val="22"/>
                <w:szCs w:val="22"/>
              </w:rPr>
              <w:t xml:space="preserve">Alte informaţii </w:t>
            </w:r>
          </w:p>
          <w:p w:rsidR="00ED052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</w:t>
            </w:r>
            <w:r w:rsidR="00F92E54" w:rsidRPr="00431D4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Secţiunea a 8-a</w:t>
            </w:r>
          </w:p>
          <w:p w:rsidR="00D0142F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Măsuri de implementare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B20F02" w:rsidRPr="00431D48" w:rsidRDefault="00952C8D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>1. Măsurile de punere în aplicare a proiectului de act normativ de către autorităţile administraţiei publice centrale şi/sau locale - înfiinţarea unor noi organisme sau extinderea competenţelor instituţiilor existente</w:t>
            </w:r>
            <w:r w:rsidRPr="00431D48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952C8D" w:rsidRPr="00431D48" w:rsidRDefault="008E5082" w:rsidP="00657343">
            <w:pPr>
              <w:autoSpaceDE w:val="0"/>
              <w:autoSpaceDN w:val="0"/>
              <w:adjustRightInd w:val="0"/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iCs/>
                <w:sz w:val="22"/>
                <w:szCs w:val="22"/>
              </w:rPr>
              <w:t>Proiectul de act normativ nu se referă la acest subiect.</w:t>
            </w:r>
          </w:p>
        </w:tc>
      </w:tr>
      <w:tr w:rsidR="009F3C6F" w:rsidRPr="00431D48" w:rsidTr="004975E0">
        <w:tc>
          <w:tcPr>
            <w:tcW w:w="10774" w:type="dxa"/>
            <w:gridSpan w:val="7"/>
          </w:tcPr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31D48">
              <w:rPr>
                <w:rFonts w:ascii="Trebuchet MS" w:hAnsi="Trebuchet MS"/>
                <w:b/>
                <w:sz w:val="22"/>
                <w:szCs w:val="22"/>
              </w:rPr>
              <w:t xml:space="preserve">2. Alte informaţii. </w:t>
            </w:r>
          </w:p>
          <w:p w:rsidR="00952C8D" w:rsidRPr="00431D48" w:rsidRDefault="00952C8D" w:rsidP="00657343">
            <w:pPr>
              <w:spacing w:line="276" w:lineRule="auto"/>
              <w:ind w:right="-6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31D48">
              <w:rPr>
                <w:rFonts w:ascii="Trebuchet MS" w:hAnsi="Trebuchet MS"/>
                <w:sz w:val="22"/>
                <w:szCs w:val="22"/>
              </w:rPr>
              <w:t>Nu este cazul</w:t>
            </w:r>
          </w:p>
        </w:tc>
      </w:tr>
    </w:tbl>
    <w:p w:rsidR="00B924A9" w:rsidRPr="00431D48" w:rsidRDefault="00B924A9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597FDD" w:rsidRPr="00431D48" w:rsidRDefault="00597FDD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8763A4" w:rsidRPr="00431D48" w:rsidRDefault="008763A4" w:rsidP="00597FDD">
      <w:pPr>
        <w:autoSpaceDE w:val="0"/>
        <w:autoSpaceDN w:val="0"/>
        <w:adjustRightInd w:val="0"/>
        <w:spacing w:line="276" w:lineRule="auto"/>
        <w:ind w:right="-65"/>
        <w:jc w:val="both"/>
        <w:rPr>
          <w:rFonts w:ascii="Trebuchet MS" w:hAnsi="Trebuchet MS"/>
          <w:b/>
          <w:sz w:val="22"/>
          <w:szCs w:val="22"/>
        </w:rPr>
      </w:pPr>
    </w:p>
    <w:p w:rsidR="005B6FD5" w:rsidRPr="00431D48" w:rsidRDefault="005B6FD5" w:rsidP="005B6FD5">
      <w:pPr>
        <w:jc w:val="both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lastRenderedPageBreak/>
        <w:t xml:space="preserve">Faţă de cele prezentate, a fost elaborat prezentul proiect de Hotărâre </w:t>
      </w:r>
      <w:r w:rsidR="00EB23E0">
        <w:rPr>
          <w:rFonts w:ascii="Trebuchet MS" w:hAnsi="Trebuchet MS"/>
          <w:b/>
          <w:sz w:val="22"/>
          <w:szCs w:val="22"/>
        </w:rPr>
        <w:t xml:space="preserve">a Guvernului </w:t>
      </w:r>
      <w:r w:rsidR="00BB4E13" w:rsidRPr="00431D48">
        <w:rPr>
          <w:rFonts w:ascii="Trebuchet MS" w:hAnsi="Trebuchet MS"/>
          <w:b/>
          <w:sz w:val="22"/>
          <w:szCs w:val="22"/>
        </w:rPr>
        <w:t>pentru</w:t>
      </w:r>
      <w:r w:rsidRPr="00431D48">
        <w:rPr>
          <w:rFonts w:ascii="Trebuchet MS" w:hAnsi="Trebuchet MS"/>
          <w:b/>
          <w:sz w:val="22"/>
          <w:szCs w:val="22"/>
        </w:rPr>
        <w:t xml:space="preserve"> modificarea Normelor metodologice de aplicare a prevederilor Legii nr. 200/2006 privind constituirea şi utilizarea Fondului de garantare pentru plata creanţelor salariale, aprobate </w:t>
      </w:r>
      <w:r w:rsidR="0094721F">
        <w:rPr>
          <w:rFonts w:ascii="Trebuchet MS" w:hAnsi="Trebuchet MS"/>
          <w:b/>
          <w:sz w:val="22"/>
          <w:szCs w:val="22"/>
        </w:rPr>
        <w:t>prin Hotărârea Guvernului nr. 1</w:t>
      </w:r>
      <w:r w:rsidRPr="00431D48">
        <w:rPr>
          <w:rFonts w:ascii="Trebuchet MS" w:hAnsi="Trebuchet MS"/>
          <w:b/>
          <w:sz w:val="22"/>
          <w:szCs w:val="22"/>
        </w:rPr>
        <w:t>850/2006.</w:t>
      </w:r>
    </w:p>
    <w:p w:rsidR="00DD1BB0" w:rsidRDefault="00DD1BB0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CB41B1" w:rsidRPr="00431D48" w:rsidRDefault="00CB41B1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7836CF" w:rsidRPr="00431D48" w:rsidRDefault="007836CF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MINISTRUL MUNCII ȘI </w:t>
      </w:r>
      <w:r w:rsidR="00CB18FA" w:rsidRPr="00431D48">
        <w:rPr>
          <w:rFonts w:ascii="Trebuchet MS" w:hAnsi="Trebuchet MS"/>
          <w:b/>
          <w:sz w:val="22"/>
          <w:szCs w:val="22"/>
        </w:rPr>
        <w:t>PROTECȚIEI</w:t>
      </w:r>
      <w:r w:rsidRPr="00431D48">
        <w:rPr>
          <w:rFonts w:ascii="Trebuchet MS" w:hAnsi="Trebuchet MS"/>
          <w:b/>
          <w:sz w:val="22"/>
          <w:szCs w:val="22"/>
        </w:rPr>
        <w:t xml:space="preserve"> SOCIALE</w:t>
      </w:r>
    </w:p>
    <w:p w:rsidR="007836CF" w:rsidRPr="00431D48" w:rsidRDefault="007836CF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112F45" w:rsidRPr="00431D48" w:rsidRDefault="00D161A7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Raluca TURCAN</w:t>
      </w:r>
    </w:p>
    <w:p w:rsidR="00C15847" w:rsidRDefault="00C15847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CB41B1" w:rsidRDefault="00CB41B1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CB41B1" w:rsidRPr="00431D48" w:rsidRDefault="00CB41B1" w:rsidP="00771945">
      <w:pPr>
        <w:tabs>
          <w:tab w:val="left" w:pos="480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9A3991" w:rsidRPr="00431D48" w:rsidRDefault="009A3991" w:rsidP="00657343">
      <w:pPr>
        <w:tabs>
          <w:tab w:val="left" w:pos="480"/>
        </w:tabs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0A7D14" w:rsidRPr="00431D48" w:rsidRDefault="000A7D14" w:rsidP="00657343">
      <w:pPr>
        <w:spacing w:line="276" w:lineRule="auto"/>
        <w:ind w:right="-65"/>
        <w:jc w:val="center"/>
        <w:outlineLvl w:val="0"/>
        <w:rPr>
          <w:rFonts w:ascii="Trebuchet MS" w:hAnsi="Trebuchet MS"/>
          <w:b/>
          <w:sz w:val="22"/>
          <w:szCs w:val="22"/>
          <w:u w:val="single"/>
        </w:rPr>
      </w:pPr>
      <w:r w:rsidRPr="00431D48">
        <w:rPr>
          <w:rFonts w:ascii="Trebuchet MS" w:hAnsi="Trebuchet MS"/>
          <w:b/>
          <w:sz w:val="22"/>
          <w:szCs w:val="22"/>
          <w:u w:val="single"/>
        </w:rPr>
        <w:t>AVIZAT:</w:t>
      </w:r>
    </w:p>
    <w:p w:rsidR="009A3991" w:rsidRPr="00431D48" w:rsidRDefault="009A3991" w:rsidP="0065734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ab/>
        <w:t xml:space="preserve">                                             </w:t>
      </w:r>
    </w:p>
    <w:p w:rsidR="00D0142F" w:rsidRPr="00431D48" w:rsidRDefault="00D0142F" w:rsidP="00657343">
      <w:pPr>
        <w:tabs>
          <w:tab w:val="left" w:pos="7082"/>
        </w:tabs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</w:p>
    <w:p w:rsidR="00B208CA" w:rsidRPr="00431D48" w:rsidRDefault="009A3991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</w:t>
      </w: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                                     </w:t>
      </w:r>
      <w:r w:rsidR="00BD06D9" w:rsidRPr="00431D48">
        <w:rPr>
          <w:rFonts w:ascii="Trebuchet MS" w:hAnsi="Trebuchet MS"/>
          <w:b/>
          <w:sz w:val="22"/>
          <w:szCs w:val="22"/>
        </w:rPr>
        <w:t xml:space="preserve">      </w:t>
      </w:r>
      <w:r w:rsidRPr="00431D48">
        <w:rPr>
          <w:rFonts w:ascii="Trebuchet MS" w:hAnsi="Trebuchet MS"/>
          <w:b/>
          <w:sz w:val="22"/>
          <w:szCs w:val="22"/>
        </w:rPr>
        <w:t>MINISTRUL AFACERILOR EXTERNE</w:t>
      </w:r>
    </w:p>
    <w:p w:rsidR="000D41D8" w:rsidRPr="00431D48" w:rsidRDefault="000D41D8" w:rsidP="00657343">
      <w:pPr>
        <w:spacing w:line="276" w:lineRule="auto"/>
        <w:ind w:right="-65"/>
        <w:outlineLvl w:val="0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 xml:space="preserve">           </w:t>
      </w:r>
    </w:p>
    <w:p w:rsidR="000D41D8" w:rsidRPr="00431D48" w:rsidRDefault="00CC2307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  <w:r>
        <w:rPr>
          <w:rFonts w:ascii="Trebuchet MS" w:hAnsi="Trebuchet MS"/>
          <w:b/>
          <w:sz w:val="22"/>
          <w:szCs w:val="22"/>
          <w:lang w:eastAsia="zh-CN"/>
        </w:rPr>
        <w:t xml:space="preserve">    Bogdan-</w:t>
      </w:r>
      <w:r w:rsidR="000D41D8" w:rsidRPr="00431D48">
        <w:rPr>
          <w:rFonts w:ascii="Trebuchet MS" w:hAnsi="Trebuchet MS"/>
          <w:b/>
          <w:sz w:val="22"/>
          <w:szCs w:val="22"/>
          <w:lang w:eastAsia="zh-CN"/>
        </w:rPr>
        <w:t>Lucian AURESCU</w:t>
      </w:r>
    </w:p>
    <w:p w:rsidR="009A3991" w:rsidRPr="00431D48" w:rsidRDefault="009A3991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</w:p>
    <w:p w:rsidR="00B208CA" w:rsidRPr="00431D48" w:rsidRDefault="00B208CA" w:rsidP="00657343">
      <w:pPr>
        <w:suppressAutoHyphens/>
        <w:spacing w:line="276" w:lineRule="auto"/>
        <w:ind w:right="55"/>
        <w:jc w:val="center"/>
        <w:outlineLvl w:val="0"/>
        <w:rPr>
          <w:rFonts w:ascii="Trebuchet MS" w:hAnsi="Trebuchet MS"/>
          <w:b/>
          <w:sz w:val="22"/>
          <w:szCs w:val="22"/>
          <w:lang w:eastAsia="zh-CN"/>
        </w:rPr>
      </w:pPr>
    </w:p>
    <w:p w:rsidR="002C4717" w:rsidRPr="00431D48" w:rsidRDefault="002C471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sz w:val="22"/>
          <w:szCs w:val="22"/>
          <w:lang w:eastAsia="zh-CN"/>
        </w:rPr>
      </w:pPr>
    </w:p>
    <w:p w:rsidR="000D41D8" w:rsidRPr="00431D48" w:rsidRDefault="000D41D8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sz w:val="22"/>
          <w:szCs w:val="22"/>
          <w:lang w:eastAsia="zh-CN"/>
        </w:rPr>
      </w:pPr>
    </w:p>
    <w:p w:rsidR="00464F6C" w:rsidRPr="00431D48" w:rsidRDefault="00464F6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9A3991" w:rsidRPr="00431D48" w:rsidRDefault="009A3991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112F45" w:rsidRPr="00431D48" w:rsidRDefault="00112F45" w:rsidP="00657343">
      <w:pPr>
        <w:tabs>
          <w:tab w:val="left" w:pos="6750"/>
        </w:tabs>
        <w:spacing w:line="276" w:lineRule="auto"/>
        <w:rPr>
          <w:rFonts w:ascii="Trebuchet MS" w:hAnsi="Trebuchet MS"/>
          <w:b/>
          <w:sz w:val="22"/>
          <w:szCs w:val="22"/>
          <w:lang w:eastAsia="zh-CN"/>
        </w:rPr>
      </w:pPr>
    </w:p>
    <w:p w:rsidR="00112F45" w:rsidRPr="00431D48" w:rsidRDefault="00112F45" w:rsidP="00657343">
      <w:pPr>
        <w:tabs>
          <w:tab w:val="left" w:pos="6750"/>
        </w:tabs>
        <w:spacing w:line="276" w:lineRule="auto"/>
        <w:rPr>
          <w:rFonts w:ascii="Trebuchet MS" w:hAnsi="Trebuchet MS"/>
          <w:b/>
          <w:sz w:val="22"/>
          <w:szCs w:val="22"/>
          <w:lang w:eastAsia="zh-CN"/>
        </w:rPr>
      </w:pPr>
    </w:p>
    <w:p w:rsidR="00464F6C" w:rsidRPr="00431D48" w:rsidRDefault="00464F6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eastAsia="zh-CN"/>
        </w:rPr>
      </w:pPr>
    </w:p>
    <w:p w:rsidR="00464F6C" w:rsidRPr="00431D48" w:rsidRDefault="00464F6C" w:rsidP="00657343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431D48">
        <w:rPr>
          <w:rFonts w:ascii="Trebuchet MS" w:hAnsi="Trebuchet MS"/>
          <w:b/>
          <w:sz w:val="22"/>
          <w:szCs w:val="22"/>
        </w:rPr>
        <w:t>MINISTRUL JUSTIȚIEI</w:t>
      </w:r>
    </w:p>
    <w:p w:rsidR="00DD1BB0" w:rsidRPr="00431D48" w:rsidRDefault="00DD1BB0" w:rsidP="00657343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10B8C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Stelian–</w:t>
      </w:r>
      <w:r w:rsidR="00DD1BB0" w:rsidRPr="00431D48">
        <w:rPr>
          <w:rFonts w:ascii="Trebuchet MS" w:hAnsi="Trebuchet MS"/>
          <w:b/>
          <w:sz w:val="22"/>
          <w:szCs w:val="22"/>
        </w:rPr>
        <w:t xml:space="preserve">Cristian </w:t>
      </w:r>
      <w:r w:rsidR="00D161A7" w:rsidRPr="00431D48">
        <w:rPr>
          <w:rFonts w:ascii="Trebuchet MS" w:hAnsi="Trebuchet MS"/>
          <w:b/>
          <w:sz w:val="22"/>
          <w:szCs w:val="22"/>
        </w:rPr>
        <w:t>ION</w:t>
      </w: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8121E" w:rsidRPr="00431D48" w:rsidRDefault="0028121E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E74ED" w:rsidRPr="00431D48" w:rsidRDefault="003E74ED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E74ED" w:rsidRPr="00431D48" w:rsidRDefault="003E74ED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7A6837" w:rsidRPr="00431D48" w:rsidRDefault="007A6837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331909" w:rsidRPr="00431D48" w:rsidRDefault="00331909" w:rsidP="00657343">
      <w:pPr>
        <w:tabs>
          <w:tab w:val="left" w:pos="6750"/>
        </w:tabs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5B6FD5" w:rsidRPr="00431D48" w:rsidRDefault="005B6FD5" w:rsidP="00435979">
      <w:pPr>
        <w:tabs>
          <w:tab w:val="left" w:pos="6750"/>
        </w:tabs>
        <w:spacing w:line="276" w:lineRule="auto"/>
        <w:rPr>
          <w:rFonts w:ascii="Trebuchet MS" w:hAnsi="Trebuchet MS"/>
          <w:b/>
          <w:sz w:val="22"/>
          <w:szCs w:val="22"/>
        </w:rPr>
      </w:pPr>
    </w:p>
    <w:sectPr w:rsidR="005B6FD5" w:rsidRPr="00431D48" w:rsidSect="000379B6">
      <w:footerReference w:type="even" r:id="rId8"/>
      <w:footerReference w:type="default" r:id="rId9"/>
      <w:pgSz w:w="12240" w:h="15840" w:code="1"/>
      <w:pgMar w:top="284" w:right="75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68" w:rsidRDefault="002A1A68">
      <w:r>
        <w:separator/>
      </w:r>
    </w:p>
  </w:endnote>
  <w:endnote w:type="continuationSeparator" w:id="0">
    <w:p w:rsidR="002A1A68" w:rsidRDefault="002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A3" w:rsidRDefault="00091C4C" w:rsidP="006C0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2A3" w:rsidRDefault="002432A3" w:rsidP="006B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A3" w:rsidRDefault="002432A3" w:rsidP="00B20F02">
    <w:pPr>
      <w:pStyle w:val="Footer"/>
    </w:pPr>
  </w:p>
  <w:p w:rsidR="002432A3" w:rsidRDefault="002432A3" w:rsidP="006B1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68" w:rsidRDefault="002A1A68">
      <w:r>
        <w:separator/>
      </w:r>
    </w:p>
  </w:footnote>
  <w:footnote w:type="continuationSeparator" w:id="0">
    <w:p w:rsidR="002A1A68" w:rsidRDefault="002A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90"/>
      </v:shape>
    </w:pict>
  </w:numPicBullet>
  <w:abstractNum w:abstractNumId="0" w15:restartNumberingAfterBreak="0">
    <w:nsid w:val="054014D2"/>
    <w:multiLevelType w:val="hybridMultilevel"/>
    <w:tmpl w:val="6B82F934"/>
    <w:lvl w:ilvl="0" w:tplc="C994E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D74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B3F"/>
    <w:multiLevelType w:val="hybridMultilevel"/>
    <w:tmpl w:val="DE6ED47E"/>
    <w:lvl w:ilvl="0" w:tplc="38EC2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675"/>
    <w:multiLevelType w:val="hybridMultilevel"/>
    <w:tmpl w:val="64544264"/>
    <w:lvl w:ilvl="0" w:tplc="A7A4B23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5F4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E60"/>
    <w:multiLevelType w:val="hybridMultilevel"/>
    <w:tmpl w:val="A14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901"/>
    <w:multiLevelType w:val="hybridMultilevel"/>
    <w:tmpl w:val="BE28BA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40E0"/>
    <w:multiLevelType w:val="hybridMultilevel"/>
    <w:tmpl w:val="9EE2CD8C"/>
    <w:lvl w:ilvl="0" w:tplc="F38CD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0BA"/>
    <w:multiLevelType w:val="hybridMultilevel"/>
    <w:tmpl w:val="1EF4E916"/>
    <w:lvl w:ilvl="0" w:tplc="A7A4B23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E239D"/>
    <w:multiLevelType w:val="hybridMultilevel"/>
    <w:tmpl w:val="DD3CC21C"/>
    <w:lvl w:ilvl="0" w:tplc="A7A4B23A">
      <w:start w:val="1"/>
      <w:numFmt w:val="lowerRoman"/>
      <w:lvlText w:val="(%1)"/>
      <w:lvlJc w:val="righ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1ED57F9F"/>
    <w:multiLevelType w:val="hybridMultilevel"/>
    <w:tmpl w:val="7FB84D02"/>
    <w:lvl w:ilvl="0" w:tplc="A7A4B23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9363A"/>
    <w:multiLevelType w:val="hybridMultilevel"/>
    <w:tmpl w:val="14A6869A"/>
    <w:lvl w:ilvl="0" w:tplc="617A0F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A4D16"/>
    <w:multiLevelType w:val="hybridMultilevel"/>
    <w:tmpl w:val="08842AE4"/>
    <w:lvl w:ilvl="0" w:tplc="1E48F588">
      <w:start w:val="1"/>
      <w:numFmt w:val="decimal"/>
      <w:lvlText w:val="(%1)"/>
      <w:lvlJc w:val="left"/>
      <w:pPr>
        <w:ind w:left="675" w:hanging="390"/>
      </w:pPr>
      <w:rPr>
        <w:rFonts w:hint="default"/>
        <w:color w:val="365F91" w:themeColor="accent1" w:themeShade="BF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2136E45"/>
    <w:multiLevelType w:val="hybridMultilevel"/>
    <w:tmpl w:val="714021F0"/>
    <w:lvl w:ilvl="0" w:tplc="617A0F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D7221"/>
    <w:multiLevelType w:val="hybridMultilevel"/>
    <w:tmpl w:val="4628E65A"/>
    <w:lvl w:ilvl="0" w:tplc="BC5EDD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28CE"/>
    <w:multiLevelType w:val="hybridMultilevel"/>
    <w:tmpl w:val="D23CD324"/>
    <w:lvl w:ilvl="0" w:tplc="08CE14D8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E4667"/>
    <w:multiLevelType w:val="hybridMultilevel"/>
    <w:tmpl w:val="C32629CE"/>
    <w:lvl w:ilvl="0" w:tplc="08CE14D8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0373C"/>
    <w:multiLevelType w:val="hybridMultilevel"/>
    <w:tmpl w:val="A66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0CA9"/>
    <w:multiLevelType w:val="hybridMultilevel"/>
    <w:tmpl w:val="64544264"/>
    <w:lvl w:ilvl="0" w:tplc="A7A4B23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15554"/>
    <w:multiLevelType w:val="hybridMultilevel"/>
    <w:tmpl w:val="B0C85846"/>
    <w:lvl w:ilvl="0" w:tplc="52249FC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589A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0008A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D533D"/>
    <w:multiLevelType w:val="hybridMultilevel"/>
    <w:tmpl w:val="2884DD16"/>
    <w:lvl w:ilvl="0" w:tplc="A7A4B23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C794C"/>
    <w:multiLevelType w:val="hybridMultilevel"/>
    <w:tmpl w:val="FC1C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F163F"/>
    <w:multiLevelType w:val="hybridMultilevel"/>
    <w:tmpl w:val="9364F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0633"/>
    <w:multiLevelType w:val="hybridMultilevel"/>
    <w:tmpl w:val="5BFA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D5F"/>
    <w:multiLevelType w:val="hybridMultilevel"/>
    <w:tmpl w:val="E7CAB2EC"/>
    <w:lvl w:ilvl="0" w:tplc="08CE14D8">
      <w:start w:val="1"/>
      <w:numFmt w:val="bullet"/>
      <w:lvlText w:val="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6700B0"/>
    <w:multiLevelType w:val="hybridMultilevel"/>
    <w:tmpl w:val="2BD29B6C"/>
    <w:lvl w:ilvl="0" w:tplc="617A0F6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560A3"/>
    <w:multiLevelType w:val="hybridMultilevel"/>
    <w:tmpl w:val="65C847F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AF3406"/>
    <w:multiLevelType w:val="hybridMultilevel"/>
    <w:tmpl w:val="F16EA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55A60"/>
    <w:multiLevelType w:val="hybridMultilevel"/>
    <w:tmpl w:val="60F636AC"/>
    <w:lvl w:ilvl="0" w:tplc="08CE14D8">
      <w:start w:val="1"/>
      <w:numFmt w:val="bullet"/>
      <w:lvlText w:val="ð"/>
      <w:lvlJc w:val="left"/>
      <w:pPr>
        <w:ind w:left="23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31" w15:restartNumberingAfterBreak="0">
    <w:nsid w:val="66384245"/>
    <w:multiLevelType w:val="hybridMultilevel"/>
    <w:tmpl w:val="22B82D7E"/>
    <w:lvl w:ilvl="0" w:tplc="33080C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C3C3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A17A4"/>
    <w:multiLevelType w:val="hybridMultilevel"/>
    <w:tmpl w:val="2344653E"/>
    <w:lvl w:ilvl="0" w:tplc="C706D9F0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6A952ADF"/>
    <w:multiLevelType w:val="hybridMultilevel"/>
    <w:tmpl w:val="B19A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C77A0"/>
    <w:multiLevelType w:val="hybridMultilevel"/>
    <w:tmpl w:val="319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566F4"/>
    <w:multiLevelType w:val="hybridMultilevel"/>
    <w:tmpl w:val="9D400906"/>
    <w:lvl w:ilvl="0" w:tplc="CFA0D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1EC4D1C"/>
    <w:multiLevelType w:val="hybridMultilevel"/>
    <w:tmpl w:val="9EE2CD8C"/>
    <w:lvl w:ilvl="0" w:tplc="F38CD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B88"/>
    <w:multiLevelType w:val="hybridMultilevel"/>
    <w:tmpl w:val="A8AC3D2A"/>
    <w:lvl w:ilvl="0" w:tplc="BBE004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B2ABF"/>
    <w:multiLevelType w:val="hybridMultilevel"/>
    <w:tmpl w:val="0262E5B2"/>
    <w:lvl w:ilvl="0" w:tplc="9C42FB04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color w:val="3C3C3C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519B5"/>
    <w:multiLevelType w:val="hybridMultilevel"/>
    <w:tmpl w:val="82B040A6"/>
    <w:lvl w:ilvl="0" w:tplc="73FAE3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7BE"/>
    <w:multiLevelType w:val="hybridMultilevel"/>
    <w:tmpl w:val="26D2D0FA"/>
    <w:lvl w:ilvl="0" w:tplc="8B20CD9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22"/>
  </w:num>
  <w:num w:numId="5">
    <w:abstractNumId w:val="10"/>
  </w:num>
  <w:num w:numId="6">
    <w:abstractNumId w:val="32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14"/>
  </w:num>
  <w:num w:numId="12">
    <w:abstractNumId w:val="2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3"/>
  </w:num>
  <w:num w:numId="17">
    <w:abstractNumId w:val="16"/>
  </w:num>
  <w:num w:numId="18">
    <w:abstractNumId w:val="15"/>
  </w:num>
  <w:num w:numId="19">
    <w:abstractNumId w:val="30"/>
  </w:num>
  <w:num w:numId="20">
    <w:abstractNumId w:val="11"/>
  </w:num>
  <w:num w:numId="21">
    <w:abstractNumId w:val="27"/>
  </w:num>
  <w:num w:numId="22">
    <w:abstractNumId w:val="26"/>
  </w:num>
  <w:num w:numId="23">
    <w:abstractNumId w:val="13"/>
  </w:num>
  <w:num w:numId="24">
    <w:abstractNumId w:val="5"/>
  </w:num>
  <w:num w:numId="25">
    <w:abstractNumId w:val="1"/>
  </w:num>
  <w:num w:numId="26">
    <w:abstractNumId w:val="4"/>
  </w:num>
  <w:num w:numId="27">
    <w:abstractNumId w:val="28"/>
  </w:num>
  <w:num w:numId="28">
    <w:abstractNumId w:val="35"/>
  </w:num>
  <w:num w:numId="29">
    <w:abstractNumId w:val="25"/>
  </w:num>
  <w:num w:numId="30">
    <w:abstractNumId w:val="6"/>
  </w:num>
  <w:num w:numId="31">
    <w:abstractNumId w:val="37"/>
  </w:num>
  <w:num w:numId="32">
    <w:abstractNumId w:val="7"/>
  </w:num>
  <w:num w:numId="33">
    <w:abstractNumId w:val="36"/>
  </w:num>
  <w:num w:numId="34">
    <w:abstractNumId w:val="12"/>
  </w:num>
  <w:num w:numId="35">
    <w:abstractNumId w:val="34"/>
  </w:num>
  <w:num w:numId="36">
    <w:abstractNumId w:val="0"/>
  </w:num>
  <w:num w:numId="37">
    <w:abstractNumId w:val="38"/>
  </w:num>
  <w:num w:numId="38">
    <w:abstractNumId w:val="40"/>
  </w:num>
  <w:num w:numId="39">
    <w:abstractNumId w:val="31"/>
  </w:num>
  <w:num w:numId="40">
    <w:abstractNumId w:val="39"/>
  </w:num>
  <w:num w:numId="4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7"/>
    <w:rsid w:val="00000C33"/>
    <w:rsid w:val="00001BCB"/>
    <w:rsid w:val="0000396C"/>
    <w:rsid w:val="0000454E"/>
    <w:rsid w:val="0000491F"/>
    <w:rsid w:val="0000556F"/>
    <w:rsid w:val="000060FA"/>
    <w:rsid w:val="00006AE4"/>
    <w:rsid w:val="00007532"/>
    <w:rsid w:val="0001077E"/>
    <w:rsid w:val="0001090A"/>
    <w:rsid w:val="00010EF1"/>
    <w:rsid w:val="000118F9"/>
    <w:rsid w:val="00011C04"/>
    <w:rsid w:val="00014066"/>
    <w:rsid w:val="000147BF"/>
    <w:rsid w:val="00014C40"/>
    <w:rsid w:val="00015612"/>
    <w:rsid w:val="00015C38"/>
    <w:rsid w:val="00017368"/>
    <w:rsid w:val="00024360"/>
    <w:rsid w:val="00024715"/>
    <w:rsid w:val="00025C77"/>
    <w:rsid w:val="00030B97"/>
    <w:rsid w:val="0003142C"/>
    <w:rsid w:val="00031885"/>
    <w:rsid w:val="0003275B"/>
    <w:rsid w:val="000338EC"/>
    <w:rsid w:val="00034C74"/>
    <w:rsid w:val="00034DC4"/>
    <w:rsid w:val="00035431"/>
    <w:rsid w:val="000356FB"/>
    <w:rsid w:val="000362BE"/>
    <w:rsid w:val="000379B6"/>
    <w:rsid w:val="00037ED0"/>
    <w:rsid w:val="0004008E"/>
    <w:rsid w:val="00040113"/>
    <w:rsid w:val="00040228"/>
    <w:rsid w:val="00040AA7"/>
    <w:rsid w:val="00041671"/>
    <w:rsid w:val="00041E21"/>
    <w:rsid w:val="00042B26"/>
    <w:rsid w:val="00043AF9"/>
    <w:rsid w:val="00044525"/>
    <w:rsid w:val="00045D61"/>
    <w:rsid w:val="0004619B"/>
    <w:rsid w:val="000507B0"/>
    <w:rsid w:val="00051EAF"/>
    <w:rsid w:val="00052A58"/>
    <w:rsid w:val="00055E36"/>
    <w:rsid w:val="0006038B"/>
    <w:rsid w:val="00060F2E"/>
    <w:rsid w:val="00061737"/>
    <w:rsid w:val="000635CB"/>
    <w:rsid w:val="000663F0"/>
    <w:rsid w:val="00072FF7"/>
    <w:rsid w:val="0007363D"/>
    <w:rsid w:val="000743D8"/>
    <w:rsid w:val="00082562"/>
    <w:rsid w:val="0008309E"/>
    <w:rsid w:val="000838D4"/>
    <w:rsid w:val="00084CF8"/>
    <w:rsid w:val="00085558"/>
    <w:rsid w:val="00091A56"/>
    <w:rsid w:val="00091C4C"/>
    <w:rsid w:val="000927ED"/>
    <w:rsid w:val="00094905"/>
    <w:rsid w:val="00094C50"/>
    <w:rsid w:val="00095455"/>
    <w:rsid w:val="00095C57"/>
    <w:rsid w:val="000A1388"/>
    <w:rsid w:val="000A2D7E"/>
    <w:rsid w:val="000A3208"/>
    <w:rsid w:val="000A41DB"/>
    <w:rsid w:val="000A7D14"/>
    <w:rsid w:val="000B29E5"/>
    <w:rsid w:val="000B3D97"/>
    <w:rsid w:val="000B3E49"/>
    <w:rsid w:val="000B3E9E"/>
    <w:rsid w:val="000B422C"/>
    <w:rsid w:val="000B7E2E"/>
    <w:rsid w:val="000C0BE6"/>
    <w:rsid w:val="000C310F"/>
    <w:rsid w:val="000C4058"/>
    <w:rsid w:val="000C42F5"/>
    <w:rsid w:val="000C6898"/>
    <w:rsid w:val="000C7135"/>
    <w:rsid w:val="000D3B51"/>
    <w:rsid w:val="000D41D8"/>
    <w:rsid w:val="000D5EF4"/>
    <w:rsid w:val="000E0349"/>
    <w:rsid w:val="000E26E1"/>
    <w:rsid w:val="000E29BA"/>
    <w:rsid w:val="000E4A15"/>
    <w:rsid w:val="000E4F59"/>
    <w:rsid w:val="000E630B"/>
    <w:rsid w:val="000E6763"/>
    <w:rsid w:val="000E6C8F"/>
    <w:rsid w:val="000F00BF"/>
    <w:rsid w:val="000F0381"/>
    <w:rsid w:val="000F0D9E"/>
    <w:rsid w:val="000F1288"/>
    <w:rsid w:val="000F19B7"/>
    <w:rsid w:val="000F2DBF"/>
    <w:rsid w:val="000F4B74"/>
    <w:rsid w:val="000F53A9"/>
    <w:rsid w:val="000F6E76"/>
    <w:rsid w:val="00100559"/>
    <w:rsid w:val="00101E97"/>
    <w:rsid w:val="00104273"/>
    <w:rsid w:val="00104C55"/>
    <w:rsid w:val="00105705"/>
    <w:rsid w:val="00105DC3"/>
    <w:rsid w:val="00111358"/>
    <w:rsid w:val="00112F45"/>
    <w:rsid w:val="001134E3"/>
    <w:rsid w:val="001209BC"/>
    <w:rsid w:val="00122B0B"/>
    <w:rsid w:val="00124B7A"/>
    <w:rsid w:val="00125646"/>
    <w:rsid w:val="00126844"/>
    <w:rsid w:val="0012705F"/>
    <w:rsid w:val="001341D6"/>
    <w:rsid w:val="00134F44"/>
    <w:rsid w:val="00135B2F"/>
    <w:rsid w:val="0013797F"/>
    <w:rsid w:val="00140E96"/>
    <w:rsid w:val="00144D31"/>
    <w:rsid w:val="00147806"/>
    <w:rsid w:val="00147A43"/>
    <w:rsid w:val="00151A8E"/>
    <w:rsid w:val="001569C1"/>
    <w:rsid w:val="0015703B"/>
    <w:rsid w:val="00157226"/>
    <w:rsid w:val="00157D8E"/>
    <w:rsid w:val="00160640"/>
    <w:rsid w:val="00160D3E"/>
    <w:rsid w:val="00162930"/>
    <w:rsid w:val="001636F8"/>
    <w:rsid w:val="00164097"/>
    <w:rsid w:val="001671DD"/>
    <w:rsid w:val="00171FAE"/>
    <w:rsid w:val="00172080"/>
    <w:rsid w:val="00174940"/>
    <w:rsid w:val="00177FA6"/>
    <w:rsid w:val="00183C2D"/>
    <w:rsid w:val="00185E28"/>
    <w:rsid w:val="001876C4"/>
    <w:rsid w:val="001906AB"/>
    <w:rsid w:val="00194AD4"/>
    <w:rsid w:val="00195042"/>
    <w:rsid w:val="00195299"/>
    <w:rsid w:val="00195E5D"/>
    <w:rsid w:val="00197D24"/>
    <w:rsid w:val="001A00AE"/>
    <w:rsid w:val="001A0D4B"/>
    <w:rsid w:val="001A0E24"/>
    <w:rsid w:val="001A1AB7"/>
    <w:rsid w:val="001A1AC1"/>
    <w:rsid w:val="001A4D14"/>
    <w:rsid w:val="001A5B68"/>
    <w:rsid w:val="001A7A5F"/>
    <w:rsid w:val="001B06D6"/>
    <w:rsid w:val="001B1A5D"/>
    <w:rsid w:val="001B5728"/>
    <w:rsid w:val="001B690A"/>
    <w:rsid w:val="001C0056"/>
    <w:rsid w:val="001C18BF"/>
    <w:rsid w:val="001C1B28"/>
    <w:rsid w:val="001C2330"/>
    <w:rsid w:val="001C29B0"/>
    <w:rsid w:val="001C3692"/>
    <w:rsid w:val="001C4A6D"/>
    <w:rsid w:val="001C58DF"/>
    <w:rsid w:val="001C6F0A"/>
    <w:rsid w:val="001C77F9"/>
    <w:rsid w:val="001D37A2"/>
    <w:rsid w:val="001D43C7"/>
    <w:rsid w:val="001D45C7"/>
    <w:rsid w:val="001D5035"/>
    <w:rsid w:val="001E00CD"/>
    <w:rsid w:val="001E126F"/>
    <w:rsid w:val="001E2E5B"/>
    <w:rsid w:val="001E6359"/>
    <w:rsid w:val="001E7C5C"/>
    <w:rsid w:val="001F42AB"/>
    <w:rsid w:val="001F6EDD"/>
    <w:rsid w:val="001F7DE4"/>
    <w:rsid w:val="00201DF3"/>
    <w:rsid w:val="002032ED"/>
    <w:rsid w:val="0020416A"/>
    <w:rsid w:val="0020544D"/>
    <w:rsid w:val="0021093A"/>
    <w:rsid w:val="00210B8C"/>
    <w:rsid w:val="002118EF"/>
    <w:rsid w:val="002119A0"/>
    <w:rsid w:val="00211C7A"/>
    <w:rsid w:val="002152C3"/>
    <w:rsid w:val="0021624D"/>
    <w:rsid w:val="00216408"/>
    <w:rsid w:val="0021699C"/>
    <w:rsid w:val="00220187"/>
    <w:rsid w:val="00223B38"/>
    <w:rsid w:val="002256BD"/>
    <w:rsid w:val="00225EE8"/>
    <w:rsid w:val="002264D0"/>
    <w:rsid w:val="0022651A"/>
    <w:rsid w:val="00226B8F"/>
    <w:rsid w:val="002274E5"/>
    <w:rsid w:val="00230F6A"/>
    <w:rsid w:val="00233BC9"/>
    <w:rsid w:val="002341BB"/>
    <w:rsid w:val="002347B8"/>
    <w:rsid w:val="00234EEA"/>
    <w:rsid w:val="00235536"/>
    <w:rsid w:val="002375F4"/>
    <w:rsid w:val="002400FD"/>
    <w:rsid w:val="00240C03"/>
    <w:rsid w:val="0024256E"/>
    <w:rsid w:val="0024257C"/>
    <w:rsid w:val="002432A3"/>
    <w:rsid w:val="0024456A"/>
    <w:rsid w:val="002509A4"/>
    <w:rsid w:val="0025125C"/>
    <w:rsid w:val="0025372C"/>
    <w:rsid w:val="00254E8B"/>
    <w:rsid w:val="002559ED"/>
    <w:rsid w:val="00256A2A"/>
    <w:rsid w:val="00260BE3"/>
    <w:rsid w:val="00263E61"/>
    <w:rsid w:val="002642D0"/>
    <w:rsid w:val="00270E83"/>
    <w:rsid w:val="0027254A"/>
    <w:rsid w:val="002736B8"/>
    <w:rsid w:val="00273D4D"/>
    <w:rsid w:val="00273EAF"/>
    <w:rsid w:val="00274FA1"/>
    <w:rsid w:val="00275A99"/>
    <w:rsid w:val="0027779B"/>
    <w:rsid w:val="00280C7E"/>
    <w:rsid w:val="0028121E"/>
    <w:rsid w:val="0028258E"/>
    <w:rsid w:val="00282789"/>
    <w:rsid w:val="00285907"/>
    <w:rsid w:val="00287449"/>
    <w:rsid w:val="002875A0"/>
    <w:rsid w:val="002910B3"/>
    <w:rsid w:val="002915FF"/>
    <w:rsid w:val="00292EFE"/>
    <w:rsid w:val="0029410A"/>
    <w:rsid w:val="00294C7B"/>
    <w:rsid w:val="0029666F"/>
    <w:rsid w:val="00296774"/>
    <w:rsid w:val="00296B43"/>
    <w:rsid w:val="00297135"/>
    <w:rsid w:val="00297CA8"/>
    <w:rsid w:val="00297EB1"/>
    <w:rsid w:val="002A00AB"/>
    <w:rsid w:val="002A098F"/>
    <w:rsid w:val="002A147F"/>
    <w:rsid w:val="002A159E"/>
    <w:rsid w:val="002A1690"/>
    <w:rsid w:val="002A1A68"/>
    <w:rsid w:val="002A217C"/>
    <w:rsid w:val="002A5B1A"/>
    <w:rsid w:val="002B18DB"/>
    <w:rsid w:val="002B2DDD"/>
    <w:rsid w:val="002B35D1"/>
    <w:rsid w:val="002B4723"/>
    <w:rsid w:val="002B498B"/>
    <w:rsid w:val="002B53D0"/>
    <w:rsid w:val="002B67DF"/>
    <w:rsid w:val="002C1659"/>
    <w:rsid w:val="002C2BCD"/>
    <w:rsid w:val="002C3AB0"/>
    <w:rsid w:val="002C4717"/>
    <w:rsid w:val="002C47D4"/>
    <w:rsid w:val="002C6649"/>
    <w:rsid w:val="002C6A4E"/>
    <w:rsid w:val="002D0448"/>
    <w:rsid w:val="002D30EB"/>
    <w:rsid w:val="002D3E72"/>
    <w:rsid w:val="002D501F"/>
    <w:rsid w:val="002D5316"/>
    <w:rsid w:val="002D5A81"/>
    <w:rsid w:val="002D756C"/>
    <w:rsid w:val="002E176B"/>
    <w:rsid w:val="002E317C"/>
    <w:rsid w:val="002E453A"/>
    <w:rsid w:val="002E4F43"/>
    <w:rsid w:val="002E6708"/>
    <w:rsid w:val="002F179E"/>
    <w:rsid w:val="002F5CF4"/>
    <w:rsid w:val="002F795F"/>
    <w:rsid w:val="00300B4B"/>
    <w:rsid w:val="003044AC"/>
    <w:rsid w:val="00305A75"/>
    <w:rsid w:val="00306431"/>
    <w:rsid w:val="00307538"/>
    <w:rsid w:val="00307FBF"/>
    <w:rsid w:val="00310CC7"/>
    <w:rsid w:val="00311D0A"/>
    <w:rsid w:val="00313C5C"/>
    <w:rsid w:val="00313E2E"/>
    <w:rsid w:val="003140C7"/>
    <w:rsid w:val="00316825"/>
    <w:rsid w:val="00317D4D"/>
    <w:rsid w:val="00317EAB"/>
    <w:rsid w:val="00321BBE"/>
    <w:rsid w:val="0032212C"/>
    <w:rsid w:val="00322353"/>
    <w:rsid w:val="003227A0"/>
    <w:rsid w:val="0032334D"/>
    <w:rsid w:val="003247ED"/>
    <w:rsid w:val="00324E09"/>
    <w:rsid w:val="00325FED"/>
    <w:rsid w:val="00326ED0"/>
    <w:rsid w:val="003272C2"/>
    <w:rsid w:val="003304D3"/>
    <w:rsid w:val="00331909"/>
    <w:rsid w:val="00331E5E"/>
    <w:rsid w:val="00333609"/>
    <w:rsid w:val="00334332"/>
    <w:rsid w:val="00334BE7"/>
    <w:rsid w:val="00337333"/>
    <w:rsid w:val="00340B32"/>
    <w:rsid w:val="00340F0C"/>
    <w:rsid w:val="00341A77"/>
    <w:rsid w:val="003426E5"/>
    <w:rsid w:val="00342EEC"/>
    <w:rsid w:val="00344339"/>
    <w:rsid w:val="00344BFB"/>
    <w:rsid w:val="003455E6"/>
    <w:rsid w:val="003474C1"/>
    <w:rsid w:val="00347BD7"/>
    <w:rsid w:val="0035054B"/>
    <w:rsid w:val="00350904"/>
    <w:rsid w:val="00350F59"/>
    <w:rsid w:val="00351360"/>
    <w:rsid w:val="00352156"/>
    <w:rsid w:val="00353CC7"/>
    <w:rsid w:val="003547F1"/>
    <w:rsid w:val="003556D1"/>
    <w:rsid w:val="00355BC6"/>
    <w:rsid w:val="003563A3"/>
    <w:rsid w:val="00357A66"/>
    <w:rsid w:val="00363D31"/>
    <w:rsid w:val="003644E7"/>
    <w:rsid w:val="00366419"/>
    <w:rsid w:val="00366967"/>
    <w:rsid w:val="00367415"/>
    <w:rsid w:val="00370CE0"/>
    <w:rsid w:val="0037118C"/>
    <w:rsid w:val="003715E7"/>
    <w:rsid w:val="00377375"/>
    <w:rsid w:val="00377F95"/>
    <w:rsid w:val="00380083"/>
    <w:rsid w:val="00381530"/>
    <w:rsid w:val="00381C60"/>
    <w:rsid w:val="003830F2"/>
    <w:rsid w:val="00383483"/>
    <w:rsid w:val="00384BDE"/>
    <w:rsid w:val="00384F42"/>
    <w:rsid w:val="00385C17"/>
    <w:rsid w:val="0039074A"/>
    <w:rsid w:val="003934AE"/>
    <w:rsid w:val="00397341"/>
    <w:rsid w:val="003A157F"/>
    <w:rsid w:val="003A1FC4"/>
    <w:rsid w:val="003A25D6"/>
    <w:rsid w:val="003A2643"/>
    <w:rsid w:val="003A3714"/>
    <w:rsid w:val="003A53EA"/>
    <w:rsid w:val="003B07CC"/>
    <w:rsid w:val="003B0F74"/>
    <w:rsid w:val="003B1B3C"/>
    <w:rsid w:val="003B283E"/>
    <w:rsid w:val="003B4BD0"/>
    <w:rsid w:val="003B553E"/>
    <w:rsid w:val="003B5AEE"/>
    <w:rsid w:val="003B630D"/>
    <w:rsid w:val="003B6504"/>
    <w:rsid w:val="003B7CEC"/>
    <w:rsid w:val="003B7FCE"/>
    <w:rsid w:val="003C2537"/>
    <w:rsid w:val="003C3F51"/>
    <w:rsid w:val="003C49D5"/>
    <w:rsid w:val="003C7460"/>
    <w:rsid w:val="003D0E1B"/>
    <w:rsid w:val="003D1615"/>
    <w:rsid w:val="003D450D"/>
    <w:rsid w:val="003D53BA"/>
    <w:rsid w:val="003D7B38"/>
    <w:rsid w:val="003E0BA0"/>
    <w:rsid w:val="003E14B2"/>
    <w:rsid w:val="003E2EEC"/>
    <w:rsid w:val="003E3FFD"/>
    <w:rsid w:val="003E53AA"/>
    <w:rsid w:val="003E546C"/>
    <w:rsid w:val="003E5C36"/>
    <w:rsid w:val="003E6996"/>
    <w:rsid w:val="003E74ED"/>
    <w:rsid w:val="003F0AEC"/>
    <w:rsid w:val="003F19F8"/>
    <w:rsid w:val="003F2619"/>
    <w:rsid w:val="003F29DF"/>
    <w:rsid w:val="003F3670"/>
    <w:rsid w:val="003F37A9"/>
    <w:rsid w:val="003F3DBF"/>
    <w:rsid w:val="003F4A10"/>
    <w:rsid w:val="00400C7A"/>
    <w:rsid w:val="00404588"/>
    <w:rsid w:val="00404668"/>
    <w:rsid w:val="00405831"/>
    <w:rsid w:val="004066AA"/>
    <w:rsid w:val="00411057"/>
    <w:rsid w:val="00411195"/>
    <w:rsid w:val="004120AB"/>
    <w:rsid w:val="004144AD"/>
    <w:rsid w:val="00416541"/>
    <w:rsid w:val="00417A0A"/>
    <w:rsid w:val="00421C52"/>
    <w:rsid w:val="00423428"/>
    <w:rsid w:val="00424103"/>
    <w:rsid w:val="00425FCD"/>
    <w:rsid w:val="00427A90"/>
    <w:rsid w:val="00430414"/>
    <w:rsid w:val="004305E8"/>
    <w:rsid w:val="00431D48"/>
    <w:rsid w:val="004328B2"/>
    <w:rsid w:val="00434AB4"/>
    <w:rsid w:val="0043583C"/>
    <w:rsid w:val="00435979"/>
    <w:rsid w:val="00435BD1"/>
    <w:rsid w:val="00436B16"/>
    <w:rsid w:val="0044185E"/>
    <w:rsid w:val="00442609"/>
    <w:rsid w:val="00443192"/>
    <w:rsid w:val="00443296"/>
    <w:rsid w:val="004436ED"/>
    <w:rsid w:val="0044556A"/>
    <w:rsid w:val="00445B92"/>
    <w:rsid w:val="00447800"/>
    <w:rsid w:val="00450C55"/>
    <w:rsid w:val="00451A13"/>
    <w:rsid w:val="00452EEE"/>
    <w:rsid w:val="00452FA0"/>
    <w:rsid w:val="00455B2B"/>
    <w:rsid w:val="00456F41"/>
    <w:rsid w:val="004572A1"/>
    <w:rsid w:val="00460B41"/>
    <w:rsid w:val="00461CC6"/>
    <w:rsid w:val="00464706"/>
    <w:rsid w:val="00464F1A"/>
    <w:rsid w:val="00464F6C"/>
    <w:rsid w:val="00465638"/>
    <w:rsid w:val="00466755"/>
    <w:rsid w:val="00472B6E"/>
    <w:rsid w:val="00475235"/>
    <w:rsid w:val="004752C3"/>
    <w:rsid w:val="00475F55"/>
    <w:rsid w:val="00476C6A"/>
    <w:rsid w:val="004776E2"/>
    <w:rsid w:val="00480604"/>
    <w:rsid w:val="004811D1"/>
    <w:rsid w:val="004819B9"/>
    <w:rsid w:val="00481A73"/>
    <w:rsid w:val="00482FDC"/>
    <w:rsid w:val="00485E65"/>
    <w:rsid w:val="00485EFD"/>
    <w:rsid w:val="00496124"/>
    <w:rsid w:val="00496178"/>
    <w:rsid w:val="004975E0"/>
    <w:rsid w:val="00497C8E"/>
    <w:rsid w:val="004A4F8A"/>
    <w:rsid w:val="004B13F5"/>
    <w:rsid w:val="004B1E37"/>
    <w:rsid w:val="004B1F1C"/>
    <w:rsid w:val="004B21B0"/>
    <w:rsid w:val="004B3E70"/>
    <w:rsid w:val="004B45DE"/>
    <w:rsid w:val="004B5DA5"/>
    <w:rsid w:val="004B629B"/>
    <w:rsid w:val="004B6419"/>
    <w:rsid w:val="004B7250"/>
    <w:rsid w:val="004B75B4"/>
    <w:rsid w:val="004C0D0B"/>
    <w:rsid w:val="004C31F0"/>
    <w:rsid w:val="004C3F16"/>
    <w:rsid w:val="004C7650"/>
    <w:rsid w:val="004C7AF2"/>
    <w:rsid w:val="004C7E00"/>
    <w:rsid w:val="004D0AB5"/>
    <w:rsid w:val="004D2167"/>
    <w:rsid w:val="004D2924"/>
    <w:rsid w:val="004D4AA0"/>
    <w:rsid w:val="004D5544"/>
    <w:rsid w:val="004D5D98"/>
    <w:rsid w:val="004D6C95"/>
    <w:rsid w:val="004D6FA3"/>
    <w:rsid w:val="004D71A4"/>
    <w:rsid w:val="004E01BB"/>
    <w:rsid w:val="004E01DC"/>
    <w:rsid w:val="004E1076"/>
    <w:rsid w:val="004E12A1"/>
    <w:rsid w:val="004E1CBA"/>
    <w:rsid w:val="004E1CD1"/>
    <w:rsid w:val="004E2D02"/>
    <w:rsid w:val="004E40C1"/>
    <w:rsid w:val="004E4744"/>
    <w:rsid w:val="004E4E6E"/>
    <w:rsid w:val="004E5A73"/>
    <w:rsid w:val="004E6C64"/>
    <w:rsid w:val="004E7F81"/>
    <w:rsid w:val="004F001B"/>
    <w:rsid w:val="004F3315"/>
    <w:rsid w:val="004F3486"/>
    <w:rsid w:val="004F3BE7"/>
    <w:rsid w:val="004F4A0C"/>
    <w:rsid w:val="004F4A19"/>
    <w:rsid w:val="004F537A"/>
    <w:rsid w:val="004F5848"/>
    <w:rsid w:val="004F5995"/>
    <w:rsid w:val="005000F9"/>
    <w:rsid w:val="005002BE"/>
    <w:rsid w:val="0050075F"/>
    <w:rsid w:val="0050143B"/>
    <w:rsid w:val="0050245D"/>
    <w:rsid w:val="00504206"/>
    <w:rsid w:val="005108D9"/>
    <w:rsid w:val="00510A6D"/>
    <w:rsid w:val="00511BC5"/>
    <w:rsid w:val="00512B69"/>
    <w:rsid w:val="00516A02"/>
    <w:rsid w:val="0052031A"/>
    <w:rsid w:val="0052109B"/>
    <w:rsid w:val="00521B99"/>
    <w:rsid w:val="00522122"/>
    <w:rsid w:val="00522829"/>
    <w:rsid w:val="00522A03"/>
    <w:rsid w:val="005237E3"/>
    <w:rsid w:val="00524519"/>
    <w:rsid w:val="0052492D"/>
    <w:rsid w:val="00524C03"/>
    <w:rsid w:val="00525E24"/>
    <w:rsid w:val="005264BF"/>
    <w:rsid w:val="00527599"/>
    <w:rsid w:val="00530793"/>
    <w:rsid w:val="00534270"/>
    <w:rsid w:val="00536DBB"/>
    <w:rsid w:val="0054082C"/>
    <w:rsid w:val="00540F5E"/>
    <w:rsid w:val="00541212"/>
    <w:rsid w:val="005424C1"/>
    <w:rsid w:val="00542D8D"/>
    <w:rsid w:val="00544AE7"/>
    <w:rsid w:val="0054557F"/>
    <w:rsid w:val="005510BF"/>
    <w:rsid w:val="005514B2"/>
    <w:rsid w:val="00551A96"/>
    <w:rsid w:val="00552084"/>
    <w:rsid w:val="005539A2"/>
    <w:rsid w:val="00557A13"/>
    <w:rsid w:val="005605C4"/>
    <w:rsid w:val="00560841"/>
    <w:rsid w:val="005609B9"/>
    <w:rsid w:val="005619A1"/>
    <w:rsid w:val="00561B13"/>
    <w:rsid w:val="00564623"/>
    <w:rsid w:val="00564985"/>
    <w:rsid w:val="00564FA1"/>
    <w:rsid w:val="00565279"/>
    <w:rsid w:val="00566574"/>
    <w:rsid w:val="005705FD"/>
    <w:rsid w:val="00571B14"/>
    <w:rsid w:val="0057694E"/>
    <w:rsid w:val="00576F53"/>
    <w:rsid w:val="00577A9A"/>
    <w:rsid w:val="0058088B"/>
    <w:rsid w:val="00581BF4"/>
    <w:rsid w:val="00582004"/>
    <w:rsid w:val="00583F13"/>
    <w:rsid w:val="00584794"/>
    <w:rsid w:val="00585651"/>
    <w:rsid w:val="0058671A"/>
    <w:rsid w:val="005872E3"/>
    <w:rsid w:val="00587E19"/>
    <w:rsid w:val="00590DB9"/>
    <w:rsid w:val="005917ED"/>
    <w:rsid w:val="00593E82"/>
    <w:rsid w:val="00595763"/>
    <w:rsid w:val="00596692"/>
    <w:rsid w:val="00597A1F"/>
    <w:rsid w:val="00597FDD"/>
    <w:rsid w:val="005A1C07"/>
    <w:rsid w:val="005A345D"/>
    <w:rsid w:val="005A4CD5"/>
    <w:rsid w:val="005B168F"/>
    <w:rsid w:val="005B2134"/>
    <w:rsid w:val="005B3770"/>
    <w:rsid w:val="005B5820"/>
    <w:rsid w:val="005B6FD5"/>
    <w:rsid w:val="005B755A"/>
    <w:rsid w:val="005C14AD"/>
    <w:rsid w:val="005C1A97"/>
    <w:rsid w:val="005C2CC6"/>
    <w:rsid w:val="005C4699"/>
    <w:rsid w:val="005C56F1"/>
    <w:rsid w:val="005D5BEE"/>
    <w:rsid w:val="005D6868"/>
    <w:rsid w:val="005D758B"/>
    <w:rsid w:val="005E04CB"/>
    <w:rsid w:val="005E04F9"/>
    <w:rsid w:val="005E17AC"/>
    <w:rsid w:val="005E1DD2"/>
    <w:rsid w:val="005E40DD"/>
    <w:rsid w:val="005E4203"/>
    <w:rsid w:val="005E5BBD"/>
    <w:rsid w:val="005F2187"/>
    <w:rsid w:val="005F2BD9"/>
    <w:rsid w:val="005F2CC9"/>
    <w:rsid w:val="005F3AA6"/>
    <w:rsid w:val="00602FD7"/>
    <w:rsid w:val="006037CF"/>
    <w:rsid w:val="006051F3"/>
    <w:rsid w:val="00605ACF"/>
    <w:rsid w:val="0060633F"/>
    <w:rsid w:val="00606CC6"/>
    <w:rsid w:val="00606F72"/>
    <w:rsid w:val="00610EEA"/>
    <w:rsid w:val="006129B1"/>
    <w:rsid w:val="00613F76"/>
    <w:rsid w:val="006143B3"/>
    <w:rsid w:val="00615773"/>
    <w:rsid w:val="006164E5"/>
    <w:rsid w:val="00617AA5"/>
    <w:rsid w:val="00620E8C"/>
    <w:rsid w:val="0062282E"/>
    <w:rsid w:val="00623B91"/>
    <w:rsid w:val="0062620A"/>
    <w:rsid w:val="00630AF6"/>
    <w:rsid w:val="00631625"/>
    <w:rsid w:val="00631B07"/>
    <w:rsid w:val="006324E6"/>
    <w:rsid w:val="006336DF"/>
    <w:rsid w:val="0064040C"/>
    <w:rsid w:val="006420F8"/>
    <w:rsid w:val="00642196"/>
    <w:rsid w:val="00643897"/>
    <w:rsid w:val="00643A19"/>
    <w:rsid w:val="006457AC"/>
    <w:rsid w:val="00646233"/>
    <w:rsid w:val="00647067"/>
    <w:rsid w:val="006470F7"/>
    <w:rsid w:val="00647AB6"/>
    <w:rsid w:val="00647E8A"/>
    <w:rsid w:val="006505DE"/>
    <w:rsid w:val="00650F77"/>
    <w:rsid w:val="00653470"/>
    <w:rsid w:val="00654856"/>
    <w:rsid w:val="0065519C"/>
    <w:rsid w:val="00655D83"/>
    <w:rsid w:val="00657343"/>
    <w:rsid w:val="0066014C"/>
    <w:rsid w:val="00660445"/>
    <w:rsid w:val="0066137E"/>
    <w:rsid w:val="00661885"/>
    <w:rsid w:val="00662723"/>
    <w:rsid w:val="00662999"/>
    <w:rsid w:val="0066419D"/>
    <w:rsid w:val="00664DC7"/>
    <w:rsid w:val="006665CB"/>
    <w:rsid w:val="00670DAD"/>
    <w:rsid w:val="0067106A"/>
    <w:rsid w:val="006716B1"/>
    <w:rsid w:val="006722B9"/>
    <w:rsid w:val="00672E1A"/>
    <w:rsid w:val="00674377"/>
    <w:rsid w:val="0067783A"/>
    <w:rsid w:val="00684E95"/>
    <w:rsid w:val="0068520D"/>
    <w:rsid w:val="0068535C"/>
    <w:rsid w:val="00686145"/>
    <w:rsid w:val="00687124"/>
    <w:rsid w:val="006907FB"/>
    <w:rsid w:val="006944F8"/>
    <w:rsid w:val="0069555A"/>
    <w:rsid w:val="00695625"/>
    <w:rsid w:val="006959E2"/>
    <w:rsid w:val="00695AC9"/>
    <w:rsid w:val="00695E10"/>
    <w:rsid w:val="006A397E"/>
    <w:rsid w:val="006A4BE7"/>
    <w:rsid w:val="006A517B"/>
    <w:rsid w:val="006B1D76"/>
    <w:rsid w:val="006B1DC4"/>
    <w:rsid w:val="006B229B"/>
    <w:rsid w:val="006B2D82"/>
    <w:rsid w:val="006B2F11"/>
    <w:rsid w:val="006B355A"/>
    <w:rsid w:val="006B71EB"/>
    <w:rsid w:val="006C05CF"/>
    <w:rsid w:val="006C0631"/>
    <w:rsid w:val="006C1F8C"/>
    <w:rsid w:val="006C20BE"/>
    <w:rsid w:val="006C2320"/>
    <w:rsid w:val="006C67F8"/>
    <w:rsid w:val="006C6C56"/>
    <w:rsid w:val="006C6FF4"/>
    <w:rsid w:val="006D08F8"/>
    <w:rsid w:val="006D3B6F"/>
    <w:rsid w:val="006E2758"/>
    <w:rsid w:val="006E35A9"/>
    <w:rsid w:val="006E4299"/>
    <w:rsid w:val="006E4E7D"/>
    <w:rsid w:val="006E5F2A"/>
    <w:rsid w:val="006E685F"/>
    <w:rsid w:val="006F08D5"/>
    <w:rsid w:val="006F1B9C"/>
    <w:rsid w:val="006F7358"/>
    <w:rsid w:val="0070309F"/>
    <w:rsid w:val="00703E14"/>
    <w:rsid w:val="00705981"/>
    <w:rsid w:val="00705A15"/>
    <w:rsid w:val="00705CFF"/>
    <w:rsid w:val="007065E9"/>
    <w:rsid w:val="00710B74"/>
    <w:rsid w:val="00711656"/>
    <w:rsid w:val="007116AD"/>
    <w:rsid w:val="00711C6A"/>
    <w:rsid w:val="0071553A"/>
    <w:rsid w:val="00716225"/>
    <w:rsid w:val="00716364"/>
    <w:rsid w:val="007177CF"/>
    <w:rsid w:val="007211A9"/>
    <w:rsid w:val="007214A5"/>
    <w:rsid w:val="00723636"/>
    <w:rsid w:val="00723E69"/>
    <w:rsid w:val="007240A5"/>
    <w:rsid w:val="00724FBC"/>
    <w:rsid w:val="00724FE3"/>
    <w:rsid w:val="007258A8"/>
    <w:rsid w:val="00725D61"/>
    <w:rsid w:val="00726D96"/>
    <w:rsid w:val="00727D40"/>
    <w:rsid w:val="00731C05"/>
    <w:rsid w:val="00732B54"/>
    <w:rsid w:val="00733003"/>
    <w:rsid w:val="007332E5"/>
    <w:rsid w:val="00733CE3"/>
    <w:rsid w:val="00733DC4"/>
    <w:rsid w:val="00735A0A"/>
    <w:rsid w:val="00740A47"/>
    <w:rsid w:val="00741524"/>
    <w:rsid w:val="00741743"/>
    <w:rsid w:val="007427A8"/>
    <w:rsid w:val="007431E7"/>
    <w:rsid w:val="00744221"/>
    <w:rsid w:val="00744C99"/>
    <w:rsid w:val="007562F0"/>
    <w:rsid w:val="00760073"/>
    <w:rsid w:val="007606E0"/>
    <w:rsid w:val="00761EB6"/>
    <w:rsid w:val="00767D9F"/>
    <w:rsid w:val="00770946"/>
    <w:rsid w:val="007711B7"/>
    <w:rsid w:val="00771945"/>
    <w:rsid w:val="00771CED"/>
    <w:rsid w:val="00774962"/>
    <w:rsid w:val="00774F0C"/>
    <w:rsid w:val="00776505"/>
    <w:rsid w:val="007775B3"/>
    <w:rsid w:val="00780349"/>
    <w:rsid w:val="00780979"/>
    <w:rsid w:val="00780ECC"/>
    <w:rsid w:val="00783281"/>
    <w:rsid w:val="007836CF"/>
    <w:rsid w:val="00785A9E"/>
    <w:rsid w:val="0078619E"/>
    <w:rsid w:val="00787CD1"/>
    <w:rsid w:val="00792FD7"/>
    <w:rsid w:val="00793776"/>
    <w:rsid w:val="00793D97"/>
    <w:rsid w:val="00796342"/>
    <w:rsid w:val="007977E9"/>
    <w:rsid w:val="007A059D"/>
    <w:rsid w:val="007A0D38"/>
    <w:rsid w:val="007A0D99"/>
    <w:rsid w:val="007A0E2D"/>
    <w:rsid w:val="007A1DB1"/>
    <w:rsid w:val="007A2C67"/>
    <w:rsid w:val="007A4117"/>
    <w:rsid w:val="007A6427"/>
    <w:rsid w:val="007A6837"/>
    <w:rsid w:val="007B1E03"/>
    <w:rsid w:val="007B22DF"/>
    <w:rsid w:val="007B54E0"/>
    <w:rsid w:val="007B7475"/>
    <w:rsid w:val="007B7E4B"/>
    <w:rsid w:val="007C02B4"/>
    <w:rsid w:val="007C2D6B"/>
    <w:rsid w:val="007C3207"/>
    <w:rsid w:val="007C41CE"/>
    <w:rsid w:val="007C41E1"/>
    <w:rsid w:val="007C4555"/>
    <w:rsid w:val="007D059A"/>
    <w:rsid w:val="007D0974"/>
    <w:rsid w:val="007D0F13"/>
    <w:rsid w:val="007D25D2"/>
    <w:rsid w:val="007D3510"/>
    <w:rsid w:val="007D3CF7"/>
    <w:rsid w:val="007D448A"/>
    <w:rsid w:val="007D5F80"/>
    <w:rsid w:val="007D639D"/>
    <w:rsid w:val="007D6F22"/>
    <w:rsid w:val="007D73B5"/>
    <w:rsid w:val="007D7D28"/>
    <w:rsid w:val="007E094E"/>
    <w:rsid w:val="007E21C8"/>
    <w:rsid w:val="007E2E4A"/>
    <w:rsid w:val="007E317D"/>
    <w:rsid w:val="007E3969"/>
    <w:rsid w:val="007E4ABC"/>
    <w:rsid w:val="007F09E4"/>
    <w:rsid w:val="007F2020"/>
    <w:rsid w:val="007F21A0"/>
    <w:rsid w:val="007F2958"/>
    <w:rsid w:val="007F4AFE"/>
    <w:rsid w:val="007F5B61"/>
    <w:rsid w:val="007F7127"/>
    <w:rsid w:val="00801872"/>
    <w:rsid w:val="008018B7"/>
    <w:rsid w:val="0080193F"/>
    <w:rsid w:val="00807EC2"/>
    <w:rsid w:val="00810ABD"/>
    <w:rsid w:val="00813586"/>
    <w:rsid w:val="00816C6F"/>
    <w:rsid w:val="00821666"/>
    <w:rsid w:val="00821F85"/>
    <w:rsid w:val="0082467C"/>
    <w:rsid w:val="0083068E"/>
    <w:rsid w:val="00832917"/>
    <w:rsid w:val="008348A5"/>
    <w:rsid w:val="00835A16"/>
    <w:rsid w:val="00836076"/>
    <w:rsid w:val="008361A5"/>
    <w:rsid w:val="00836E84"/>
    <w:rsid w:val="00841696"/>
    <w:rsid w:val="00845B44"/>
    <w:rsid w:val="0084740F"/>
    <w:rsid w:val="00850B50"/>
    <w:rsid w:val="00850B9B"/>
    <w:rsid w:val="00852257"/>
    <w:rsid w:val="00853810"/>
    <w:rsid w:val="008547F3"/>
    <w:rsid w:val="00854F00"/>
    <w:rsid w:val="00857FDB"/>
    <w:rsid w:val="00863B2D"/>
    <w:rsid w:val="008655ED"/>
    <w:rsid w:val="00865865"/>
    <w:rsid w:val="00865FBB"/>
    <w:rsid w:val="00866FCF"/>
    <w:rsid w:val="00870318"/>
    <w:rsid w:val="00873F38"/>
    <w:rsid w:val="00874FA1"/>
    <w:rsid w:val="0087635A"/>
    <w:rsid w:val="008763A4"/>
    <w:rsid w:val="00880155"/>
    <w:rsid w:val="00880837"/>
    <w:rsid w:val="00880D95"/>
    <w:rsid w:val="0088219B"/>
    <w:rsid w:val="00882D06"/>
    <w:rsid w:val="00882EA7"/>
    <w:rsid w:val="00883FEA"/>
    <w:rsid w:val="008854F5"/>
    <w:rsid w:val="00885966"/>
    <w:rsid w:val="008905AB"/>
    <w:rsid w:val="00891582"/>
    <w:rsid w:val="00892695"/>
    <w:rsid w:val="00894664"/>
    <w:rsid w:val="00894C9B"/>
    <w:rsid w:val="0089725B"/>
    <w:rsid w:val="008A08B3"/>
    <w:rsid w:val="008A0A18"/>
    <w:rsid w:val="008A29F1"/>
    <w:rsid w:val="008A2F3B"/>
    <w:rsid w:val="008A4D2A"/>
    <w:rsid w:val="008A55EC"/>
    <w:rsid w:val="008A5E09"/>
    <w:rsid w:val="008A63B4"/>
    <w:rsid w:val="008A7C71"/>
    <w:rsid w:val="008B04CF"/>
    <w:rsid w:val="008B0D02"/>
    <w:rsid w:val="008B522D"/>
    <w:rsid w:val="008B787D"/>
    <w:rsid w:val="008C4A52"/>
    <w:rsid w:val="008C5DC5"/>
    <w:rsid w:val="008C604C"/>
    <w:rsid w:val="008C6FD1"/>
    <w:rsid w:val="008D4389"/>
    <w:rsid w:val="008D5CA5"/>
    <w:rsid w:val="008D69E4"/>
    <w:rsid w:val="008D6B8A"/>
    <w:rsid w:val="008D7ACB"/>
    <w:rsid w:val="008E3C78"/>
    <w:rsid w:val="008E3DD6"/>
    <w:rsid w:val="008E42C3"/>
    <w:rsid w:val="008E5082"/>
    <w:rsid w:val="008E5ACD"/>
    <w:rsid w:val="008E6630"/>
    <w:rsid w:val="008F29DE"/>
    <w:rsid w:val="008F307D"/>
    <w:rsid w:val="008F555D"/>
    <w:rsid w:val="008F6020"/>
    <w:rsid w:val="008F6320"/>
    <w:rsid w:val="008F6811"/>
    <w:rsid w:val="008F69BF"/>
    <w:rsid w:val="008F6DC9"/>
    <w:rsid w:val="00900E80"/>
    <w:rsid w:val="0090163D"/>
    <w:rsid w:val="00902ADD"/>
    <w:rsid w:val="0090335F"/>
    <w:rsid w:val="009077DC"/>
    <w:rsid w:val="0091015D"/>
    <w:rsid w:val="00910BA2"/>
    <w:rsid w:val="0091137E"/>
    <w:rsid w:val="00911F00"/>
    <w:rsid w:val="00913063"/>
    <w:rsid w:val="00913A9F"/>
    <w:rsid w:val="00913DED"/>
    <w:rsid w:val="0091498C"/>
    <w:rsid w:val="00916693"/>
    <w:rsid w:val="009227C8"/>
    <w:rsid w:val="009236CD"/>
    <w:rsid w:val="00923CC3"/>
    <w:rsid w:val="009320E0"/>
    <w:rsid w:val="00935365"/>
    <w:rsid w:val="00935A4A"/>
    <w:rsid w:val="00936CDF"/>
    <w:rsid w:val="00936F79"/>
    <w:rsid w:val="00937068"/>
    <w:rsid w:val="00937B7E"/>
    <w:rsid w:val="00942BEF"/>
    <w:rsid w:val="00943651"/>
    <w:rsid w:val="009439AD"/>
    <w:rsid w:val="00943E43"/>
    <w:rsid w:val="0094721F"/>
    <w:rsid w:val="00947EB9"/>
    <w:rsid w:val="00950061"/>
    <w:rsid w:val="00952C8D"/>
    <w:rsid w:val="00953512"/>
    <w:rsid w:val="0095366F"/>
    <w:rsid w:val="0095474E"/>
    <w:rsid w:val="0095478E"/>
    <w:rsid w:val="00954E56"/>
    <w:rsid w:val="009605FD"/>
    <w:rsid w:val="009620FD"/>
    <w:rsid w:val="00962C42"/>
    <w:rsid w:val="00963761"/>
    <w:rsid w:val="00963C55"/>
    <w:rsid w:val="0096478A"/>
    <w:rsid w:val="00964D5F"/>
    <w:rsid w:val="00967122"/>
    <w:rsid w:val="00975C6B"/>
    <w:rsid w:val="009763E3"/>
    <w:rsid w:val="0097771A"/>
    <w:rsid w:val="009779F3"/>
    <w:rsid w:val="00980D4B"/>
    <w:rsid w:val="00981885"/>
    <w:rsid w:val="00981DFA"/>
    <w:rsid w:val="00982407"/>
    <w:rsid w:val="00986B7A"/>
    <w:rsid w:val="00992739"/>
    <w:rsid w:val="0099392E"/>
    <w:rsid w:val="00994370"/>
    <w:rsid w:val="009968D5"/>
    <w:rsid w:val="009A0B7A"/>
    <w:rsid w:val="009A3991"/>
    <w:rsid w:val="009A3EDE"/>
    <w:rsid w:val="009A4F3D"/>
    <w:rsid w:val="009B0226"/>
    <w:rsid w:val="009B0A7D"/>
    <w:rsid w:val="009B147E"/>
    <w:rsid w:val="009B25EE"/>
    <w:rsid w:val="009B597F"/>
    <w:rsid w:val="009C278D"/>
    <w:rsid w:val="009C3D07"/>
    <w:rsid w:val="009C4CF3"/>
    <w:rsid w:val="009C5E3C"/>
    <w:rsid w:val="009C6C9C"/>
    <w:rsid w:val="009C7427"/>
    <w:rsid w:val="009C77FF"/>
    <w:rsid w:val="009D30A1"/>
    <w:rsid w:val="009D53AD"/>
    <w:rsid w:val="009D5ED8"/>
    <w:rsid w:val="009D6FCA"/>
    <w:rsid w:val="009D7189"/>
    <w:rsid w:val="009E019F"/>
    <w:rsid w:val="009E0691"/>
    <w:rsid w:val="009E2E62"/>
    <w:rsid w:val="009E2F97"/>
    <w:rsid w:val="009E334D"/>
    <w:rsid w:val="009E5831"/>
    <w:rsid w:val="009E614C"/>
    <w:rsid w:val="009E7225"/>
    <w:rsid w:val="009F0F7D"/>
    <w:rsid w:val="009F1315"/>
    <w:rsid w:val="009F3C5C"/>
    <w:rsid w:val="009F3C6F"/>
    <w:rsid w:val="009F52E3"/>
    <w:rsid w:val="009F56C6"/>
    <w:rsid w:val="00A04873"/>
    <w:rsid w:val="00A057D3"/>
    <w:rsid w:val="00A05BF2"/>
    <w:rsid w:val="00A07255"/>
    <w:rsid w:val="00A0755B"/>
    <w:rsid w:val="00A0776A"/>
    <w:rsid w:val="00A0776D"/>
    <w:rsid w:val="00A10C0D"/>
    <w:rsid w:val="00A1152F"/>
    <w:rsid w:val="00A1435E"/>
    <w:rsid w:val="00A1443F"/>
    <w:rsid w:val="00A15820"/>
    <w:rsid w:val="00A15BBB"/>
    <w:rsid w:val="00A16783"/>
    <w:rsid w:val="00A174EC"/>
    <w:rsid w:val="00A17F9F"/>
    <w:rsid w:val="00A202DF"/>
    <w:rsid w:val="00A20CA3"/>
    <w:rsid w:val="00A22467"/>
    <w:rsid w:val="00A22B17"/>
    <w:rsid w:val="00A22C72"/>
    <w:rsid w:val="00A22D1C"/>
    <w:rsid w:val="00A23631"/>
    <w:rsid w:val="00A23E07"/>
    <w:rsid w:val="00A240DD"/>
    <w:rsid w:val="00A241EA"/>
    <w:rsid w:val="00A26B91"/>
    <w:rsid w:val="00A26FBB"/>
    <w:rsid w:val="00A2780B"/>
    <w:rsid w:val="00A2793A"/>
    <w:rsid w:val="00A30326"/>
    <w:rsid w:val="00A30DB5"/>
    <w:rsid w:val="00A3158E"/>
    <w:rsid w:val="00A324DB"/>
    <w:rsid w:val="00A3380A"/>
    <w:rsid w:val="00A40994"/>
    <w:rsid w:val="00A411C4"/>
    <w:rsid w:val="00A42DB6"/>
    <w:rsid w:val="00A46B06"/>
    <w:rsid w:val="00A5259E"/>
    <w:rsid w:val="00A52665"/>
    <w:rsid w:val="00A526C5"/>
    <w:rsid w:val="00A5272B"/>
    <w:rsid w:val="00A53252"/>
    <w:rsid w:val="00A534A6"/>
    <w:rsid w:val="00A53AFE"/>
    <w:rsid w:val="00A54608"/>
    <w:rsid w:val="00A54A33"/>
    <w:rsid w:val="00A557E3"/>
    <w:rsid w:val="00A567DA"/>
    <w:rsid w:val="00A56AA6"/>
    <w:rsid w:val="00A5725C"/>
    <w:rsid w:val="00A6060D"/>
    <w:rsid w:val="00A60E0D"/>
    <w:rsid w:val="00A635E7"/>
    <w:rsid w:val="00A636D0"/>
    <w:rsid w:val="00A6407B"/>
    <w:rsid w:val="00A640CA"/>
    <w:rsid w:val="00A641DD"/>
    <w:rsid w:val="00A64751"/>
    <w:rsid w:val="00A65322"/>
    <w:rsid w:val="00A66B53"/>
    <w:rsid w:val="00A674CD"/>
    <w:rsid w:val="00A67B20"/>
    <w:rsid w:val="00A706DD"/>
    <w:rsid w:val="00A71465"/>
    <w:rsid w:val="00A715D1"/>
    <w:rsid w:val="00A76386"/>
    <w:rsid w:val="00A77E3B"/>
    <w:rsid w:val="00A80949"/>
    <w:rsid w:val="00A81204"/>
    <w:rsid w:val="00A81AA0"/>
    <w:rsid w:val="00A82B67"/>
    <w:rsid w:val="00A84AB4"/>
    <w:rsid w:val="00A85F5B"/>
    <w:rsid w:val="00A9045B"/>
    <w:rsid w:val="00A91728"/>
    <w:rsid w:val="00A91F2B"/>
    <w:rsid w:val="00A923EB"/>
    <w:rsid w:val="00A9280B"/>
    <w:rsid w:val="00A96781"/>
    <w:rsid w:val="00AA1108"/>
    <w:rsid w:val="00AA1381"/>
    <w:rsid w:val="00AA760C"/>
    <w:rsid w:val="00AB0BAE"/>
    <w:rsid w:val="00AB0E3F"/>
    <w:rsid w:val="00AB0FDF"/>
    <w:rsid w:val="00AB1DFD"/>
    <w:rsid w:val="00AB346F"/>
    <w:rsid w:val="00AB5618"/>
    <w:rsid w:val="00AC2D90"/>
    <w:rsid w:val="00AC5EC2"/>
    <w:rsid w:val="00AC646C"/>
    <w:rsid w:val="00AC72CB"/>
    <w:rsid w:val="00AC7828"/>
    <w:rsid w:val="00AC7FB2"/>
    <w:rsid w:val="00AD421B"/>
    <w:rsid w:val="00AD58C1"/>
    <w:rsid w:val="00AD59DA"/>
    <w:rsid w:val="00AD632F"/>
    <w:rsid w:val="00AD6B93"/>
    <w:rsid w:val="00AE0DFC"/>
    <w:rsid w:val="00AE0F6E"/>
    <w:rsid w:val="00AE413F"/>
    <w:rsid w:val="00AE4756"/>
    <w:rsid w:val="00AE7598"/>
    <w:rsid w:val="00AF1659"/>
    <w:rsid w:val="00AF3AF3"/>
    <w:rsid w:val="00AF7D22"/>
    <w:rsid w:val="00B01597"/>
    <w:rsid w:val="00B01943"/>
    <w:rsid w:val="00B02292"/>
    <w:rsid w:val="00B035B2"/>
    <w:rsid w:val="00B03854"/>
    <w:rsid w:val="00B03C5A"/>
    <w:rsid w:val="00B05A04"/>
    <w:rsid w:val="00B069E1"/>
    <w:rsid w:val="00B07619"/>
    <w:rsid w:val="00B07DC5"/>
    <w:rsid w:val="00B10763"/>
    <w:rsid w:val="00B107EA"/>
    <w:rsid w:val="00B10968"/>
    <w:rsid w:val="00B1105B"/>
    <w:rsid w:val="00B114C4"/>
    <w:rsid w:val="00B1173F"/>
    <w:rsid w:val="00B14704"/>
    <w:rsid w:val="00B161B6"/>
    <w:rsid w:val="00B17097"/>
    <w:rsid w:val="00B208CA"/>
    <w:rsid w:val="00B20F02"/>
    <w:rsid w:val="00B239C4"/>
    <w:rsid w:val="00B259CC"/>
    <w:rsid w:val="00B25BE2"/>
    <w:rsid w:val="00B26935"/>
    <w:rsid w:val="00B30A2F"/>
    <w:rsid w:val="00B3477E"/>
    <w:rsid w:val="00B34B09"/>
    <w:rsid w:val="00B34E9D"/>
    <w:rsid w:val="00B35A48"/>
    <w:rsid w:val="00B35FB7"/>
    <w:rsid w:val="00B379AF"/>
    <w:rsid w:val="00B413BA"/>
    <w:rsid w:val="00B4665F"/>
    <w:rsid w:val="00B511D9"/>
    <w:rsid w:val="00B51A63"/>
    <w:rsid w:val="00B51DBD"/>
    <w:rsid w:val="00B53190"/>
    <w:rsid w:val="00B5436F"/>
    <w:rsid w:val="00B54BF0"/>
    <w:rsid w:val="00B55232"/>
    <w:rsid w:val="00B60240"/>
    <w:rsid w:val="00B61700"/>
    <w:rsid w:val="00B617F9"/>
    <w:rsid w:val="00B61C4F"/>
    <w:rsid w:val="00B6225A"/>
    <w:rsid w:val="00B62922"/>
    <w:rsid w:val="00B65B8A"/>
    <w:rsid w:val="00B65CE4"/>
    <w:rsid w:val="00B65EB7"/>
    <w:rsid w:val="00B6785C"/>
    <w:rsid w:val="00B70F65"/>
    <w:rsid w:val="00B70FF7"/>
    <w:rsid w:val="00B7133D"/>
    <w:rsid w:val="00B714E5"/>
    <w:rsid w:val="00B71A29"/>
    <w:rsid w:val="00B728C4"/>
    <w:rsid w:val="00B73685"/>
    <w:rsid w:val="00B74564"/>
    <w:rsid w:val="00B80C7A"/>
    <w:rsid w:val="00B838F8"/>
    <w:rsid w:val="00B8467E"/>
    <w:rsid w:val="00B84805"/>
    <w:rsid w:val="00B92181"/>
    <w:rsid w:val="00B92403"/>
    <w:rsid w:val="00B924A9"/>
    <w:rsid w:val="00B92789"/>
    <w:rsid w:val="00B92AF6"/>
    <w:rsid w:val="00B936CA"/>
    <w:rsid w:val="00B94CE8"/>
    <w:rsid w:val="00B9542B"/>
    <w:rsid w:val="00B97297"/>
    <w:rsid w:val="00BA029E"/>
    <w:rsid w:val="00BA03E4"/>
    <w:rsid w:val="00BA0A19"/>
    <w:rsid w:val="00BA16D8"/>
    <w:rsid w:val="00BA1890"/>
    <w:rsid w:val="00BA2328"/>
    <w:rsid w:val="00BA2E08"/>
    <w:rsid w:val="00BA42BE"/>
    <w:rsid w:val="00BA6A78"/>
    <w:rsid w:val="00BA7A49"/>
    <w:rsid w:val="00BB00ED"/>
    <w:rsid w:val="00BB091C"/>
    <w:rsid w:val="00BB1CF5"/>
    <w:rsid w:val="00BB1F00"/>
    <w:rsid w:val="00BB30B2"/>
    <w:rsid w:val="00BB3734"/>
    <w:rsid w:val="00BB4E13"/>
    <w:rsid w:val="00BB750F"/>
    <w:rsid w:val="00BB7B6E"/>
    <w:rsid w:val="00BB7CF1"/>
    <w:rsid w:val="00BC15EE"/>
    <w:rsid w:val="00BC3BEB"/>
    <w:rsid w:val="00BC6153"/>
    <w:rsid w:val="00BC6405"/>
    <w:rsid w:val="00BC6BA2"/>
    <w:rsid w:val="00BC7B8A"/>
    <w:rsid w:val="00BD06D9"/>
    <w:rsid w:val="00BD12C7"/>
    <w:rsid w:val="00BD23E0"/>
    <w:rsid w:val="00BD2B1A"/>
    <w:rsid w:val="00BD2FB5"/>
    <w:rsid w:val="00BD3157"/>
    <w:rsid w:val="00BD4308"/>
    <w:rsid w:val="00BD5E4F"/>
    <w:rsid w:val="00BD6506"/>
    <w:rsid w:val="00BD6742"/>
    <w:rsid w:val="00BD6D4F"/>
    <w:rsid w:val="00BD796D"/>
    <w:rsid w:val="00BD7F70"/>
    <w:rsid w:val="00BE2C7A"/>
    <w:rsid w:val="00BE3980"/>
    <w:rsid w:val="00BE4CD1"/>
    <w:rsid w:val="00BE5775"/>
    <w:rsid w:val="00BE6767"/>
    <w:rsid w:val="00BE6D5B"/>
    <w:rsid w:val="00BF0EBE"/>
    <w:rsid w:val="00BF1C7E"/>
    <w:rsid w:val="00BF2702"/>
    <w:rsid w:val="00BF2AAF"/>
    <w:rsid w:val="00BF2D18"/>
    <w:rsid w:val="00BF420C"/>
    <w:rsid w:val="00BF4BB6"/>
    <w:rsid w:val="00BF4FEC"/>
    <w:rsid w:val="00BF614E"/>
    <w:rsid w:val="00BF7B75"/>
    <w:rsid w:val="00BF7DAA"/>
    <w:rsid w:val="00C01FAB"/>
    <w:rsid w:val="00C02C19"/>
    <w:rsid w:val="00C03E99"/>
    <w:rsid w:val="00C10B09"/>
    <w:rsid w:val="00C113E0"/>
    <w:rsid w:val="00C13A5E"/>
    <w:rsid w:val="00C145EA"/>
    <w:rsid w:val="00C15847"/>
    <w:rsid w:val="00C15912"/>
    <w:rsid w:val="00C15C40"/>
    <w:rsid w:val="00C160E1"/>
    <w:rsid w:val="00C16E43"/>
    <w:rsid w:val="00C20E03"/>
    <w:rsid w:val="00C21582"/>
    <w:rsid w:val="00C26022"/>
    <w:rsid w:val="00C307A1"/>
    <w:rsid w:val="00C3170E"/>
    <w:rsid w:val="00C341F3"/>
    <w:rsid w:val="00C34913"/>
    <w:rsid w:val="00C37F7A"/>
    <w:rsid w:val="00C4114A"/>
    <w:rsid w:val="00C42535"/>
    <w:rsid w:val="00C4297B"/>
    <w:rsid w:val="00C447D2"/>
    <w:rsid w:val="00C452DF"/>
    <w:rsid w:val="00C458E2"/>
    <w:rsid w:val="00C46552"/>
    <w:rsid w:val="00C469E2"/>
    <w:rsid w:val="00C46FA3"/>
    <w:rsid w:val="00C46FF5"/>
    <w:rsid w:val="00C47B0B"/>
    <w:rsid w:val="00C51D2F"/>
    <w:rsid w:val="00C51E39"/>
    <w:rsid w:val="00C52F29"/>
    <w:rsid w:val="00C538AE"/>
    <w:rsid w:val="00C555BE"/>
    <w:rsid w:val="00C55DB3"/>
    <w:rsid w:val="00C56E82"/>
    <w:rsid w:val="00C624EB"/>
    <w:rsid w:val="00C629D0"/>
    <w:rsid w:val="00C6486A"/>
    <w:rsid w:val="00C677D9"/>
    <w:rsid w:val="00C71AE0"/>
    <w:rsid w:val="00C73736"/>
    <w:rsid w:val="00C76278"/>
    <w:rsid w:val="00C80AB3"/>
    <w:rsid w:val="00C83C13"/>
    <w:rsid w:val="00C84C01"/>
    <w:rsid w:val="00C90409"/>
    <w:rsid w:val="00C9053F"/>
    <w:rsid w:val="00C9374E"/>
    <w:rsid w:val="00C93C0C"/>
    <w:rsid w:val="00C942FE"/>
    <w:rsid w:val="00C956FB"/>
    <w:rsid w:val="00C957B2"/>
    <w:rsid w:val="00CA0284"/>
    <w:rsid w:val="00CA0BBB"/>
    <w:rsid w:val="00CA3BC0"/>
    <w:rsid w:val="00CA4726"/>
    <w:rsid w:val="00CA4BAF"/>
    <w:rsid w:val="00CA7272"/>
    <w:rsid w:val="00CB00D3"/>
    <w:rsid w:val="00CB18FA"/>
    <w:rsid w:val="00CB1AEF"/>
    <w:rsid w:val="00CB2E5E"/>
    <w:rsid w:val="00CB41B1"/>
    <w:rsid w:val="00CB76D2"/>
    <w:rsid w:val="00CC0610"/>
    <w:rsid w:val="00CC2307"/>
    <w:rsid w:val="00CC3F3D"/>
    <w:rsid w:val="00CC4368"/>
    <w:rsid w:val="00CC47BF"/>
    <w:rsid w:val="00CC52BA"/>
    <w:rsid w:val="00CC6319"/>
    <w:rsid w:val="00CC739D"/>
    <w:rsid w:val="00CD4B77"/>
    <w:rsid w:val="00CD55E5"/>
    <w:rsid w:val="00CD5DFE"/>
    <w:rsid w:val="00CD621B"/>
    <w:rsid w:val="00CD69C6"/>
    <w:rsid w:val="00CD70E5"/>
    <w:rsid w:val="00CE00FB"/>
    <w:rsid w:val="00CE426D"/>
    <w:rsid w:val="00CE4E26"/>
    <w:rsid w:val="00CE4EFD"/>
    <w:rsid w:val="00CE7407"/>
    <w:rsid w:val="00CF002D"/>
    <w:rsid w:val="00CF0957"/>
    <w:rsid w:val="00CF16DB"/>
    <w:rsid w:val="00CF1914"/>
    <w:rsid w:val="00CF26ED"/>
    <w:rsid w:val="00CF27D8"/>
    <w:rsid w:val="00CF3C0A"/>
    <w:rsid w:val="00CF7197"/>
    <w:rsid w:val="00CF73D6"/>
    <w:rsid w:val="00D00122"/>
    <w:rsid w:val="00D00677"/>
    <w:rsid w:val="00D0142F"/>
    <w:rsid w:val="00D02093"/>
    <w:rsid w:val="00D03B20"/>
    <w:rsid w:val="00D03FC9"/>
    <w:rsid w:val="00D053FD"/>
    <w:rsid w:val="00D05BFB"/>
    <w:rsid w:val="00D06691"/>
    <w:rsid w:val="00D10A22"/>
    <w:rsid w:val="00D11742"/>
    <w:rsid w:val="00D161A7"/>
    <w:rsid w:val="00D174B5"/>
    <w:rsid w:val="00D17B00"/>
    <w:rsid w:val="00D23026"/>
    <w:rsid w:val="00D230DC"/>
    <w:rsid w:val="00D240C2"/>
    <w:rsid w:val="00D259E7"/>
    <w:rsid w:val="00D273D9"/>
    <w:rsid w:val="00D273F7"/>
    <w:rsid w:val="00D300D8"/>
    <w:rsid w:val="00D328B5"/>
    <w:rsid w:val="00D33059"/>
    <w:rsid w:val="00D33396"/>
    <w:rsid w:val="00D34250"/>
    <w:rsid w:val="00D3542C"/>
    <w:rsid w:val="00D36F3D"/>
    <w:rsid w:val="00D3736B"/>
    <w:rsid w:val="00D379EB"/>
    <w:rsid w:val="00D37DCC"/>
    <w:rsid w:val="00D40A66"/>
    <w:rsid w:val="00D42330"/>
    <w:rsid w:val="00D42E2A"/>
    <w:rsid w:val="00D44588"/>
    <w:rsid w:val="00D447F4"/>
    <w:rsid w:val="00D4737B"/>
    <w:rsid w:val="00D51075"/>
    <w:rsid w:val="00D52030"/>
    <w:rsid w:val="00D544B2"/>
    <w:rsid w:val="00D54509"/>
    <w:rsid w:val="00D55245"/>
    <w:rsid w:val="00D566A9"/>
    <w:rsid w:val="00D56781"/>
    <w:rsid w:val="00D601CA"/>
    <w:rsid w:val="00D606C5"/>
    <w:rsid w:val="00D610B1"/>
    <w:rsid w:val="00D614A2"/>
    <w:rsid w:val="00D621BC"/>
    <w:rsid w:val="00D64C28"/>
    <w:rsid w:val="00D67078"/>
    <w:rsid w:val="00D672D1"/>
    <w:rsid w:val="00D70E2C"/>
    <w:rsid w:val="00D70FFB"/>
    <w:rsid w:val="00D72794"/>
    <w:rsid w:val="00D72A20"/>
    <w:rsid w:val="00D72F7D"/>
    <w:rsid w:val="00D7381E"/>
    <w:rsid w:val="00D75AE6"/>
    <w:rsid w:val="00D77670"/>
    <w:rsid w:val="00D77750"/>
    <w:rsid w:val="00D818EB"/>
    <w:rsid w:val="00D81A9A"/>
    <w:rsid w:val="00D81F78"/>
    <w:rsid w:val="00D85BFA"/>
    <w:rsid w:val="00D9023A"/>
    <w:rsid w:val="00D91EE4"/>
    <w:rsid w:val="00D91EFB"/>
    <w:rsid w:val="00D938E3"/>
    <w:rsid w:val="00D93C7C"/>
    <w:rsid w:val="00D9611B"/>
    <w:rsid w:val="00D9700D"/>
    <w:rsid w:val="00D97639"/>
    <w:rsid w:val="00DA082B"/>
    <w:rsid w:val="00DA2BD5"/>
    <w:rsid w:val="00DA324A"/>
    <w:rsid w:val="00DA57DA"/>
    <w:rsid w:val="00DA6165"/>
    <w:rsid w:val="00DB1589"/>
    <w:rsid w:val="00DB18F7"/>
    <w:rsid w:val="00DB1E5A"/>
    <w:rsid w:val="00DB2945"/>
    <w:rsid w:val="00DB2956"/>
    <w:rsid w:val="00DB47A4"/>
    <w:rsid w:val="00DB53E6"/>
    <w:rsid w:val="00DB6F35"/>
    <w:rsid w:val="00DC1022"/>
    <w:rsid w:val="00DC234E"/>
    <w:rsid w:val="00DC30A2"/>
    <w:rsid w:val="00DC57A5"/>
    <w:rsid w:val="00DC6203"/>
    <w:rsid w:val="00DC6C62"/>
    <w:rsid w:val="00DC6FC3"/>
    <w:rsid w:val="00DD0663"/>
    <w:rsid w:val="00DD1B7D"/>
    <w:rsid w:val="00DD1BB0"/>
    <w:rsid w:val="00DD220D"/>
    <w:rsid w:val="00DD2506"/>
    <w:rsid w:val="00DD329D"/>
    <w:rsid w:val="00DD32C8"/>
    <w:rsid w:val="00DD4CDF"/>
    <w:rsid w:val="00DD5A2C"/>
    <w:rsid w:val="00DE0B70"/>
    <w:rsid w:val="00DE25FB"/>
    <w:rsid w:val="00DE5E77"/>
    <w:rsid w:val="00DE77EF"/>
    <w:rsid w:val="00DF0AF0"/>
    <w:rsid w:val="00DF2AB3"/>
    <w:rsid w:val="00DF2F9A"/>
    <w:rsid w:val="00DF31AE"/>
    <w:rsid w:val="00DF4D31"/>
    <w:rsid w:val="00DF5F0C"/>
    <w:rsid w:val="00E029EE"/>
    <w:rsid w:val="00E02A0C"/>
    <w:rsid w:val="00E02C80"/>
    <w:rsid w:val="00E03E3A"/>
    <w:rsid w:val="00E03EDD"/>
    <w:rsid w:val="00E04208"/>
    <w:rsid w:val="00E0612E"/>
    <w:rsid w:val="00E10335"/>
    <w:rsid w:val="00E105AB"/>
    <w:rsid w:val="00E1110E"/>
    <w:rsid w:val="00E12254"/>
    <w:rsid w:val="00E141A0"/>
    <w:rsid w:val="00E14904"/>
    <w:rsid w:val="00E25CEB"/>
    <w:rsid w:val="00E26286"/>
    <w:rsid w:val="00E26AEA"/>
    <w:rsid w:val="00E30E9D"/>
    <w:rsid w:val="00E3498F"/>
    <w:rsid w:val="00E35741"/>
    <w:rsid w:val="00E35B78"/>
    <w:rsid w:val="00E36F25"/>
    <w:rsid w:val="00E3743C"/>
    <w:rsid w:val="00E37938"/>
    <w:rsid w:val="00E438CC"/>
    <w:rsid w:val="00E44F88"/>
    <w:rsid w:val="00E45338"/>
    <w:rsid w:val="00E45F64"/>
    <w:rsid w:val="00E4767C"/>
    <w:rsid w:val="00E5256F"/>
    <w:rsid w:val="00E52590"/>
    <w:rsid w:val="00E5318D"/>
    <w:rsid w:val="00E53CFF"/>
    <w:rsid w:val="00E54277"/>
    <w:rsid w:val="00E54A19"/>
    <w:rsid w:val="00E559C8"/>
    <w:rsid w:val="00E57437"/>
    <w:rsid w:val="00E57D74"/>
    <w:rsid w:val="00E649F0"/>
    <w:rsid w:val="00E65AA8"/>
    <w:rsid w:val="00E65CFA"/>
    <w:rsid w:val="00E65E2E"/>
    <w:rsid w:val="00E66162"/>
    <w:rsid w:val="00E713F5"/>
    <w:rsid w:val="00E72951"/>
    <w:rsid w:val="00E73A8E"/>
    <w:rsid w:val="00E741EB"/>
    <w:rsid w:val="00E77BBA"/>
    <w:rsid w:val="00E8700A"/>
    <w:rsid w:val="00E87D93"/>
    <w:rsid w:val="00E903B4"/>
    <w:rsid w:val="00E9365E"/>
    <w:rsid w:val="00E940A0"/>
    <w:rsid w:val="00E9420C"/>
    <w:rsid w:val="00E94A13"/>
    <w:rsid w:val="00E9597C"/>
    <w:rsid w:val="00E95FD4"/>
    <w:rsid w:val="00E96545"/>
    <w:rsid w:val="00EA19BE"/>
    <w:rsid w:val="00EA3962"/>
    <w:rsid w:val="00EA6A7F"/>
    <w:rsid w:val="00EA6D9C"/>
    <w:rsid w:val="00EB10BB"/>
    <w:rsid w:val="00EB1F6D"/>
    <w:rsid w:val="00EB23E0"/>
    <w:rsid w:val="00EB25E6"/>
    <w:rsid w:val="00EB2804"/>
    <w:rsid w:val="00EB5484"/>
    <w:rsid w:val="00EB746D"/>
    <w:rsid w:val="00EB74D3"/>
    <w:rsid w:val="00EC0834"/>
    <w:rsid w:val="00EC1637"/>
    <w:rsid w:val="00EC1BDB"/>
    <w:rsid w:val="00EC1F7C"/>
    <w:rsid w:val="00EC2095"/>
    <w:rsid w:val="00EC37F6"/>
    <w:rsid w:val="00EC3A94"/>
    <w:rsid w:val="00EC4283"/>
    <w:rsid w:val="00EC64AB"/>
    <w:rsid w:val="00EC7940"/>
    <w:rsid w:val="00ED052D"/>
    <w:rsid w:val="00ED08FB"/>
    <w:rsid w:val="00ED12A4"/>
    <w:rsid w:val="00ED1D80"/>
    <w:rsid w:val="00ED1E27"/>
    <w:rsid w:val="00ED1F77"/>
    <w:rsid w:val="00ED2B0A"/>
    <w:rsid w:val="00ED3777"/>
    <w:rsid w:val="00ED57CF"/>
    <w:rsid w:val="00ED617C"/>
    <w:rsid w:val="00ED7771"/>
    <w:rsid w:val="00EE0B1A"/>
    <w:rsid w:val="00EE185D"/>
    <w:rsid w:val="00EE2AB7"/>
    <w:rsid w:val="00EE4561"/>
    <w:rsid w:val="00EE5778"/>
    <w:rsid w:val="00EE675A"/>
    <w:rsid w:val="00EE6B36"/>
    <w:rsid w:val="00EE7BDC"/>
    <w:rsid w:val="00EE7DFD"/>
    <w:rsid w:val="00EF044E"/>
    <w:rsid w:val="00EF0A2B"/>
    <w:rsid w:val="00EF2625"/>
    <w:rsid w:val="00EF5894"/>
    <w:rsid w:val="00EF5F63"/>
    <w:rsid w:val="00EF67C8"/>
    <w:rsid w:val="00EF745E"/>
    <w:rsid w:val="00F020D5"/>
    <w:rsid w:val="00F02B0D"/>
    <w:rsid w:val="00F03C49"/>
    <w:rsid w:val="00F05AA5"/>
    <w:rsid w:val="00F10661"/>
    <w:rsid w:val="00F1167A"/>
    <w:rsid w:val="00F11E21"/>
    <w:rsid w:val="00F11EE4"/>
    <w:rsid w:val="00F12629"/>
    <w:rsid w:val="00F12831"/>
    <w:rsid w:val="00F1328D"/>
    <w:rsid w:val="00F15F72"/>
    <w:rsid w:val="00F22259"/>
    <w:rsid w:val="00F22F80"/>
    <w:rsid w:val="00F241C2"/>
    <w:rsid w:val="00F263CF"/>
    <w:rsid w:val="00F26660"/>
    <w:rsid w:val="00F3131C"/>
    <w:rsid w:val="00F32345"/>
    <w:rsid w:val="00F35B74"/>
    <w:rsid w:val="00F361CC"/>
    <w:rsid w:val="00F36688"/>
    <w:rsid w:val="00F41290"/>
    <w:rsid w:val="00F421EF"/>
    <w:rsid w:val="00F430A3"/>
    <w:rsid w:val="00F44E44"/>
    <w:rsid w:val="00F46291"/>
    <w:rsid w:val="00F46D09"/>
    <w:rsid w:val="00F47DBA"/>
    <w:rsid w:val="00F47F58"/>
    <w:rsid w:val="00F51116"/>
    <w:rsid w:val="00F521BC"/>
    <w:rsid w:val="00F54BDA"/>
    <w:rsid w:val="00F5543A"/>
    <w:rsid w:val="00F5550C"/>
    <w:rsid w:val="00F569EB"/>
    <w:rsid w:val="00F56D6A"/>
    <w:rsid w:val="00F6044A"/>
    <w:rsid w:val="00F61A46"/>
    <w:rsid w:val="00F62858"/>
    <w:rsid w:val="00F62FA8"/>
    <w:rsid w:val="00F64F64"/>
    <w:rsid w:val="00F64FAA"/>
    <w:rsid w:val="00F77428"/>
    <w:rsid w:val="00F82FEA"/>
    <w:rsid w:val="00F8467D"/>
    <w:rsid w:val="00F85D99"/>
    <w:rsid w:val="00F85DD1"/>
    <w:rsid w:val="00F860EA"/>
    <w:rsid w:val="00F8666C"/>
    <w:rsid w:val="00F923F0"/>
    <w:rsid w:val="00F928C6"/>
    <w:rsid w:val="00F92E54"/>
    <w:rsid w:val="00F93650"/>
    <w:rsid w:val="00F93736"/>
    <w:rsid w:val="00F93CCB"/>
    <w:rsid w:val="00F955C3"/>
    <w:rsid w:val="00F97A68"/>
    <w:rsid w:val="00FA05F9"/>
    <w:rsid w:val="00FA0A0D"/>
    <w:rsid w:val="00FA3CD9"/>
    <w:rsid w:val="00FA41A0"/>
    <w:rsid w:val="00FA6DD8"/>
    <w:rsid w:val="00FC2E0F"/>
    <w:rsid w:val="00FC2E6F"/>
    <w:rsid w:val="00FC35C7"/>
    <w:rsid w:val="00FC4C63"/>
    <w:rsid w:val="00FC638B"/>
    <w:rsid w:val="00FD0325"/>
    <w:rsid w:val="00FD1081"/>
    <w:rsid w:val="00FD4394"/>
    <w:rsid w:val="00FD54D2"/>
    <w:rsid w:val="00FD5D08"/>
    <w:rsid w:val="00FD6CD1"/>
    <w:rsid w:val="00FD75B7"/>
    <w:rsid w:val="00FD7A46"/>
    <w:rsid w:val="00FE342B"/>
    <w:rsid w:val="00FE38C9"/>
    <w:rsid w:val="00FE5567"/>
    <w:rsid w:val="00FF24F3"/>
    <w:rsid w:val="00FF286C"/>
    <w:rsid w:val="00FF31C5"/>
    <w:rsid w:val="00FF3F36"/>
    <w:rsid w:val="00FF4E1A"/>
    <w:rsid w:val="00FF758E"/>
    <w:rsid w:val="00FF78B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79931-E4C8-4CD4-93F7-9A2A7A9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09"/>
    <w:rPr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991"/>
    <w:pPr>
      <w:keepNext/>
      <w:spacing w:line="360" w:lineRule="auto"/>
      <w:jc w:val="center"/>
      <w:outlineLvl w:val="2"/>
    </w:pPr>
    <w:rPr>
      <w:b/>
      <w:bCs/>
      <w:sz w:val="20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E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B1D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DC4"/>
  </w:style>
  <w:style w:type="paragraph" w:styleId="Header">
    <w:name w:val="header"/>
    <w:basedOn w:val="Normal"/>
    <w:link w:val="HeaderChar"/>
    <w:rsid w:val="004752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8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B522D"/>
    <w:rPr>
      <w:sz w:val="16"/>
      <w:szCs w:val="16"/>
    </w:rPr>
  </w:style>
  <w:style w:type="paragraph" w:styleId="CommentText">
    <w:name w:val="annotation text"/>
    <w:basedOn w:val="Normal"/>
    <w:rsid w:val="008B52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22D"/>
    <w:rPr>
      <w:b/>
      <w:bCs/>
    </w:rPr>
  </w:style>
  <w:style w:type="character" w:customStyle="1" w:styleId="tli1">
    <w:name w:val="tli1"/>
    <w:rsid w:val="00774962"/>
  </w:style>
  <w:style w:type="paragraph" w:customStyle="1" w:styleId="ListParagraph1">
    <w:name w:val="List Paragraph1"/>
    <w:basedOn w:val="Normal"/>
    <w:uiPriority w:val="99"/>
    <w:qFormat/>
    <w:rsid w:val="00452FA0"/>
    <w:pPr>
      <w:ind w:left="720"/>
      <w:contextualSpacing/>
    </w:pPr>
  </w:style>
  <w:style w:type="character" w:customStyle="1" w:styleId="apple-converted-space">
    <w:name w:val="apple-converted-space"/>
    <w:rsid w:val="00587E19"/>
  </w:style>
  <w:style w:type="character" w:styleId="Strong">
    <w:name w:val="Strong"/>
    <w:uiPriority w:val="22"/>
    <w:qFormat/>
    <w:rsid w:val="00587E19"/>
    <w:rPr>
      <w:b/>
      <w:bCs/>
    </w:rPr>
  </w:style>
  <w:style w:type="character" w:styleId="Hyperlink">
    <w:name w:val="Hyperlink"/>
    <w:uiPriority w:val="99"/>
    <w:unhideWhenUsed/>
    <w:rsid w:val="00587E19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3F29DF"/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EB5484"/>
    <w:rPr>
      <w:sz w:val="24"/>
      <w:szCs w:val="24"/>
      <w:lang w:val="ro-RO" w:eastAsia="en-US"/>
    </w:rPr>
  </w:style>
  <w:style w:type="character" w:styleId="Emphasis">
    <w:name w:val="Emphasis"/>
    <w:uiPriority w:val="20"/>
    <w:qFormat/>
    <w:rsid w:val="00674377"/>
    <w:rPr>
      <w:i/>
      <w:iCs/>
    </w:rPr>
  </w:style>
  <w:style w:type="paragraph" w:styleId="DocumentMap">
    <w:name w:val="Document Map"/>
    <w:basedOn w:val="Normal"/>
    <w:semiHidden/>
    <w:rsid w:val="00C10B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40E96"/>
    <w:pPr>
      <w:ind w:left="720"/>
      <w:contextualSpacing/>
    </w:pPr>
    <w:rPr>
      <w:szCs w:val="20"/>
      <w:lang w:val="en-AU"/>
    </w:rPr>
  </w:style>
  <w:style w:type="character" w:customStyle="1" w:styleId="HeaderChar">
    <w:name w:val="Header Char"/>
    <w:link w:val="Header"/>
    <w:rsid w:val="00FF4E1A"/>
    <w:rPr>
      <w:sz w:val="24"/>
      <w:szCs w:val="24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137E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7836CF"/>
  </w:style>
  <w:style w:type="paragraph" w:styleId="FootnoteText">
    <w:name w:val="footnote text"/>
    <w:aliases w:val="Podrozdział,Footnote,Footnote Text Char Char,Fußnote,single space,footnote text,FOOTNOTES,fn,fn Char Char Char,fn Char Char,fn Char,Fußnote Char Char Char,Fußnote Char,Fußnote Char Char Char Char,Footnote text,stile 1,ft"/>
    <w:basedOn w:val="Normal"/>
    <w:link w:val="FootnoteTextChar"/>
    <w:rsid w:val="00452EEE"/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Footnote Char,Footnote Text Char Char Char,Fußnote Char1,single space Char,footnote text Char,FOOTNOTES Char,fn Char1,fn Char Char Char Char,fn Char Char Char1,fn Char Char1,Fußnote Char Char Char Char1,stile 1 Char"/>
    <w:link w:val="FootnoteText"/>
    <w:rsid w:val="00452EEE"/>
    <w:rPr>
      <w:lang w:val="en-US" w:eastAsia="en-US"/>
    </w:rPr>
  </w:style>
  <w:style w:type="character" w:styleId="FootnoteReference">
    <w:name w:val="footnote reference"/>
    <w:aliases w:val="BVI fnr Char1, BVI fnr Char1,Footnote Reference Number Char,Odwołanie przypisu Char,Footnote Reference_LVL6 Char,Footnote Reference_LVL61 Char,Footnote Reference_LVL62 Char,Footnote Reference_LVL63 Char,Footnote Reference_LVL64 Char"/>
    <w:link w:val="BVIfnr"/>
    <w:rsid w:val="00452EEE"/>
    <w:rPr>
      <w:vertAlign w:val="superscript"/>
    </w:rPr>
  </w:style>
  <w:style w:type="paragraph" w:styleId="Revision">
    <w:name w:val="Revision"/>
    <w:hidden/>
    <w:uiPriority w:val="99"/>
    <w:semiHidden/>
    <w:rsid w:val="00583F13"/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rsid w:val="009A3991"/>
    <w:rPr>
      <w:b/>
      <w:bCs/>
      <w:szCs w:val="24"/>
      <w:lang w:val="ro-RO" w:eastAsia="x-none"/>
    </w:rPr>
  </w:style>
  <w:style w:type="paragraph" w:styleId="NormalWeb">
    <w:name w:val="Normal (Web)"/>
    <w:basedOn w:val="Normal"/>
    <w:uiPriority w:val="99"/>
    <w:unhideWhenUsed/>
    <w:rsid w:val="009A3991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322353"/>
    <w:rPr>
      <w:sz w:val="28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E03E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/>
    </w:rPr>
  </w:style>
  <w:style w:type="paragraph" w:customStyle="1" w:styleId="al">
    <w:name w:val="a_l"/>
    <w:basedOn w:val="Normal"/>
    <w:rsid w:val="00E03E3A"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link w:val="BodyText2Char"/>
    <w:uiPriority w:val="99"/>
    <w:rsid w:val="00865865"/>
    <w:pPr>
      <w:jc w:val="both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865865"/>
    <w:rPr>
      <w:sz w:val="24"/>
      <w:szCs w:val="24"/>
      <w:lang w:val="ro-RO" w:eastAsia="ro-RO"/>
    </w:rPr>
  </w:style>
  <w:style w:type="paragraph" w:customStyle="1" w:styleId="Default">
    <w:name w:val="Default"/>
    <w:rsid w:val="00D621BC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val="ro-RO"/>
    </w:rPr>
  </w:style>
  <w:style w:type="paragraph" w:customStyle="1" w:styleId="BVIfnr">
    <w:name w:val="BVI fnr"/>
    <w:aliases w:val=" BVI fnr,Footnote Reference Number,Odwołanie przypisu,Footnote Reference_LVL6,Footnote Reference_LVL61,Footnote Reference_LVL62,Footnote Reference_LVL63,Footnote Reference_LVL64,fr,Odwo&lt;0142&gt;anie przypisu,Footnote symbol,SUPER"/>
    <w:basedOn w:val="Normal"/>
    <w:next w:val="Normal"/>
    <w:link w:val="FootnoteReference"/>
    <w:rsid w:val="005B6FD5"/>
    <w:pPr>
      <w:spacing w:after="160" w:line="240" w:lineRule="exact"/>
    </w:pPr>
    <w:rPr>
      <w:sz w:val="20"/>
      <w:szCs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40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D3A0-40CE-4BC4-BDC1-8E60AA32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1479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1</vt:lpstr>
      <vt:lpstr>Secţiunea 1</vt:lpstr>
    </vt:vector>
  </TitlesOfParts>
  <Company>mmssf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1</dc:title>
  <dc:creator>tomina.motea</dc:creator>
  <cp:lastModifiedBy>Auras Marinescu</cp:lastModifiedBy>
  <cp:revision>12</cp:revision>
  <cp:lastPrinted>2021-02-19T10:43:00Z</cp:lastPrinted>
  <dcterms:created xsi:type="dcterms:W3CDTF">2021-02-19T07:23:00Z</dcterms:created>
  <dcterms:modified xsi:type="dcterms:W3CDTF">2021-02-19T15:36:00Z</dcterms:modified>
</cp:coreProperties>
</file>